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9E" w:rsidRDefault="007F02C7">
      <w:pPr>
        <w:spacing w:before="9" w:after="230"/>
        <w:ind w:left="4450" w:right="4394"/>
        <w:textAlignment w:val="baseline"/>
      </w:pPr>
      <w:bookmarkStart w:id="0" w:name="_GoBack"/>
      <w:bookmarkEnd w:id="0"/>
      <w:r>
        <w:rPr>
          <w:noProof/>
          <w:lang w:val="en-GB" w:eastAsia="en-GB"/>
        </w:rPr>
        <w:drawing>
          <wp:inline distT="0" distB="0" distL="0" distR="0">
            <wp:extent cx="810260" cy="10972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810260" cy="1097280"/>
                    </a:xfrm>
                    <a:prstGeom prst="rect">
                      <a:avLst/>
                    </a:prstGeom>
                  </pic:spPr>
                </pic:pic>
              </a:graphicData>
            </a:graphic>
          </wp:inline>
        </w:drawing>
      </w:r>
    </w:p>
    <w:p w:rsidR="0074769E" w:rsidRDefault="007F02C7">
      <w:pPr>
        <w:spacing w:line="161" w:lineRule="exact"/>
        <w:jc w:val="center"/>
        <w:textAlignment w:val="baseline"/>
        <w:rPr>
          <w:rFonts w:eastAsia="Times New Roman"/>
          <w:color w:val="000000"/>
          <w:spacing w:val="17"/>
          <w:sz w:val="14"/>
        </w:rPr>
      </w:pPr>
      <w:r>
        <w:rPr>
          <w:rFonts w:eastAsia="Times New Roman"/>
          <w:color w:val="000000"/>
          <w:spacing w:val="17"/>
          <w:sz w:val="14"/>
        </w:rPr>
        <w:t>CANADA</w:t>
      </w:r>
    </w:p>
    <w:p w:rsidR="0074769E" w:rsidRDefault="007F02C7">
      <w:pPr>
        <w:tabs>
          <w:tab w:val="left" w:pos="6840"/>
        </w:tabs>
        <w:spacing w:before="947" w:after="938" w:line="282" w:lineRule="exact"/>
        <w:ind w:left="1440"/>
        <w:textAlignment w:val="baseline"/>
        <w:rPr>
          <w:rFonts w:eastAsia="Times New Roman"/>
          <w:color w:val="000000"/>
          <w:spacing w:val="-1"/>
          <w:sz w:val="24"/>
        </w:rPr>
      </w:pPr>
      <w:r>
        <w:rPr>
          <w:rFonts w:eastAsia="Times New Roman"/>
          <w:color w:val="000000"/>
          <w:spacing w:val="-1"/>
          <w:sz w:val="24"/>
        </w:rPr>
        <w:t>CONSOLIDATION</w:t>
      </w:r>
      <w:r>
        <w:rPr>
          <w:rFonts w:eastAsia="Times New Roman"/>
          <w:color w:val="000000"/>
          <w:spacing w:val="-1"/>
          <w:sz w:val="24"/>
        </w:rPr>
        <w:tab/>
        <w:t>CODIFICATION</w:t>
      </w:r>
    </w:p>
    <w:p w:rsidR="0074769E" w:rsidRDefault="0074769E">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4977"/>
        <w:gridCol w:w="5143"/>
      </w:tblGrid>
      <w:tr w:rsidR="0074769E">
        <w:trPr>
          <w:trHeight w:hRule="exact" w:val="1945"/>
        </w:trPr>
        <w:tc>
          <w:tcPr>
            <w:tcW w:w="4977" w:type="dxa"/>
            <w:tcBorders>
              <w:top w:val="none" w:sz="0" w:space="0" w:color="000000"/>
              <w:left w:val="none" w:sz="0" w:space="0" w:color="000000"/>
              <w:bottom w:val="none" w:sz="0" w:space="0" w:color="000000"/>
              <w:right w:val="none" w:sz="0" w:space="0" w:color="000000"/>
            </w:tcBorders>
          </w:tcPr>
          <w:p w:rsidR="0074769E" w:rsidRDefault="007F02C7">
            <w:pPr>
              <w:spacing w:line="476" w:lineRule="exact"/>
              <w:jc w:val="center"/>
              <w:textAlignment w:val="baseline"/>
              <w:rPr>
                <w:rFonts w:eastAsia="Times New Roman"/>
                <w:color w:val="000000"/>
                <w:sz w:val="47"/>
              </w:rPr>
            </w:pPr>
            <w:r>
              <w:rPr>
                <w:rFonts w:eastAsia="Times New Roman"/>
                <w:color w:val="000000"/>
                <w:sz w:val="47"/>
              </w:rPr>
              <w:t>International Criminal</w:t>
            </w:r>
          </w:p>
          <w:p w:rsidR="0074769E" w:rsidRDefault="007F02C7">
            <w:pPr>
              <w:spacing w:before="3" w:line="495" w:lineRule="exact"/>
              <w:jc w:val="center"/>
              <w:textAlignment w:val="baseline"/>
              <w:rPr>
                <w:rFonts w:eastAsia="Times New Roman"/>
                <w:color w:val="000000"/>
                <w:sz w:val="47"/>
              </w:rPr>
            </w:pPr>
            <w:r>
              <w:rPr>
                <w:rFonts w:eastAsia="Times New Roman"/>
                <w:color w:val="000000"/>
                <w:sz w:val="47"/>
              </w:rPr>
              <w:t>Court Privileges and</w:t>
            </w:r>
          </w:p>
          <w:p w:rsidR="0074769E" w:rsidRDefault="007F02C7">
            <w:pPr>
              <w:spacing w:after="413" w:line="544" w:lineRule="exact"/>
              <w:jc w:val="center"/>
              <w:textAlignment w:val="baseline"/>
              <w:rPr>
                <w:rFonts w:eastAsia="Times New Roman"/>
                <w:color w:val="000000"/>
                <w:sz w:val="47"/>
              </w:rPr>
            </w:pPr>
            <w:r>
              <w:rPr>
                <w:rFonts w:eastAsia="Times New Roman"/>
                <w:color w:val="000000"/>
                <w:sz w:val="47"/>
              </w:rPr>
              <w:t>Immunities Order</w:t>
            </w:r>
          </w:p>
        </w:tc>
        <w:tc>
          <w:tcPr>
            <w:tcW w:w="5143" w:type="dxa"/>
            <w:tcBorders>
              <w:top w:val="none" w:sz="0" w:space="0" w:color="000000"/>
              <w:left w:val="none" w:sz="0" w:space="0" w:color="000000"/>
              <w:bottom w:val="none" w:sz="0" w:space="0" w:color="000000"/>
              <w:right w:val="none" w:sz="0" w:space="0" w:color="000000"/>
            </w:tcBorders>
          </w:tcPr>
          <w:p w:rsidR="0074769E" w:rsidRPr="007F02C7" w:rsidRDefault="007F02C7">
            <w:pPr>
              <w:spacing w:line="476" w:lineRule="exact"/>
              <w:ind w:right="16"/>
              <w:jc w:val="right"/>
              <w:textAlignment w:val="baseline"/>
              <w:rPr>
                <w:rFonts w:eastAsia="Times New Roman"/>
                <w:color w:val="000000"/>
                <w:sz w:val="47"/>
                <w:lang w:val="fr-BE"/>
              </w:rPr>
            </w:pPr>
            <w:r w:rsidRPr="007F02C7">
              <w:rPr>
                <w:rFonts w:eastAsia="Times New Roman"/>
                <w:color w:val="000000"/>
                <w:sz w:val="47"/>
                <w:lang w:val="fr-BE"/>
              </w:rPr>
              <w:t>Décret sur les privilèges</w:t>
            </w:r>
          </w:p>
          <w:p w:rsidR="0074769E" w:rsidRPr="007F02C7" w:rsidRDefault="007F02C7">
            <w:pPr>
              <w:spacing w:before="3" w:line="495" w:lineRule="exact"/>
              <w:ind w:right="16"/>
              <w:jc w:val="right"/>
              <w:textAlignment w:val="baseline"/>
              <w:rPr>
                <w:rFonts w:eastAsia="Times New Roman"/>
                <w:color w:val="000000"/>
                <w:sz w:val="47"/>
                <w:lang w:val="fr-BE"/>
              </w:rPr>
            </w:pPr>
            <w:r w:rsidRPr="007F02C7">
              <w:rPr>
                <w:rFonts w:eastAsia="Times New Roman"/>
                <w:color w:val="000000"/>
                <w:sz w:val="47"/>
                <w:lang w:val="fr-BE"/>
              </w:rPr>
              <w:t>et immunités relatifs à la</w:t>
            </w:r>
          </w:p>
          <w:p w:rsidR="0074769E" w:rsidRDefault="007F02C7">
            <w:pPr>
              <w:spacing w:line="519" w:lineRule="exact"/>
              <w:ind w:right="1186"/>
              <w:jc w:val="right"/>
              <w:textAlignment w:val="baseline"/>
              <w:rPr>
                <w:rFonts w:eastAsia="Times New Roman"/>
                <w:color w:val="000000"/>
                <w:sz w:val="47"/>
              </w:rPr>
            </w:pPr>
            <w:proofErr w:type="spellStart"/>
            <w:r>
              <w:rPr>
                <w:rFonts w:eastAsia="Times New Roman"/>
                <w:color w:val="000000"/>
                <w:sz w:val="47"/>
              </w:rPr>
              <w:t>Cour</w:t>
            </w:r>
            <w:proofErr w:type="spellEnd"/>
            <w:r>
              <w:rPr>
                <w:rFonts w:eastAsia="Times New Roman"/>
                <w:color w:val="000000"/>
                <w:sz w:val="47"/>
              </w:rPr>
              <w:t xml:space="preserve"> </w:t>
            </w:r>
            <w:proofErr w:type="spellStart"/>
            <w:r>
              <w:rPr>
                <w:rFonts w:eastAsia="Times New Roman"/>
                <w:color w:val="000000"/>
                <w:sz w:val="47"/>
              </w:rPr>
              <w:t>pénale</w:t>
            </w:r>
            <w:proofErr w:type="spellEnd"/>
          </w:p>
          <w:p w:rsidR="0074769E" w:rsidRDefault="007F02C7">
            <w:pPr>
              <w:spacing w:line="438" w:lineRule="exact"/>
              <w:ind w:right="1096"/>
              <w:jc w:val="right"/>
              <w:textAlignment w:val="baseline"/>
              <w:rPr>
                <w:rFonts w:eastAsia="Times New Roman"/>
                <w:color w:val="000000"/>
                <w:sz w:val="47"/>
              </w:rPr>
            </w:pPr>
            <w:proofErr w:type="spellStart"/>
            <w:r>
              <w:rPr>
                <w:rFonts w:eastAsia="Times New Roman"/>
                <w:color w:val="000000"/>
                <w:sz w:val="47"/>
              </w:rPr>
              <w:t>internationale</w:t>
            </w:r>
            <w:proofErr w:type="spellEnd"/>
          </w:p>
        </w:tc>
      </w:tr>
    </w:tbl>
    <w:p w:rsidR="0074769E" w:rsidRDefault="0074769E">
      <w:pPr>
        <w:spacing w:after="1024" w:line="20" w:lineRule="exact"/>
      </w:pPr>
    </w:p>
    <w:p w:rsidR="0074769E" w:rsidRDefault="007F02C7">
      <w:pPr>
        <w:tabs>
          <w:tab w:val="left" w:pos="6912"/>
        </w:tabs>
        <w:spacing w:after="3000" w:line="276" w:lineRule="exact"/>
        <w:ind w:left="1728"/>
        <w:textAlignment w:val="baseline"/>
        <w:rPr>
          <w:rFonts w:eastAsia="Times New Roman"/>
          <w:color w:val="000000"/>
          <w:sz w:val="24"/>
        </w:rPr>
      </w:pPr>
      <w:r>
        <w:rPr>
          <w:rFonts w:eastAsia="Times New Roman"/>
          <w:color w:val="000000"/>
          <w:sz w:val="24"/>
        </w:rPr>
        <w:t>SOR/2004-156</w:t>
      </w:r>
      <w:r>
        <w:rPr>
          <w:rFonts w:eastAsia="Times New Roman"/>
          <w:color w:val="000000"/>
          <w:sz w:val="24"/>
        </w:rPr>
        <w:tab/>
        <w:t>DORS/2004-156</w:t>
      </w:r>
    </w:p>
    <w:p w:rsidR="0074769E" w:rsidRPr="007F02C7" w:rsidRDefault="007F02C7">
      <w:pPr>
        <w:tabs>
          <w:tab w:val="left" w:pos="6768"/>
        </w:tabs>
        <w:spacing w:line="234" w:lineRule="exact"/>
        <w:ind w:left="1440"/>
        <w:textAlignment w:val="baseline"/>
        <w:rPr>
          <w:rFonts w:eastAsia="Times New Roman"/>
          <w:color w:val="000000"/>
          <w:sz w:val="20"/>
          <w:lang w:val="fr-BE"/>
        </w:rPr>
      </w:pPr>
      <w:proofErr w:type="spellStart"/>
      <w:r w:rsidRPr="007F02C7">
        <w:rPr>
          <w:rFonts w:eastAsia="Times New Roman"/>
          <w:color w:val="000000"/>
          <w:sz w:val="20"/>
          <w:lang w:val="fr-BE"/>
        </w:rPr>
        <w:t>Current</w:t>
      </w:r>
      <w:proofErr w:type="spellEnd"/>
      <w:r w:rsidRPr="007F02C7">
        <w:rPr>
          <w:rFonts w:eastAsia="Times New Roman"/>
          <w:color w:val="000000"/>
          <w:sz w:val="20"/>
          <w:lang w:val="fr-BE"/>
        </w:rPr>
        <w:t xml:space="preserve"> to </w:t>
      </w:r>
      <w:proofErr w:type="spellStart"/>
      <w:r w:rsidRPr="007F02C7">
        <w:rPr>
          <w:rFonts w:eastAsia="Times New Roman"/>
          <w:color w:val="000000"/>
          <w:sz w:val="20"/>
          <w:lang w:val="fr-BE"/>
        </w:rPr>
        <w:t>June</w:t>
      </w:r>
      <w:proofErr w:type="spellEnd"/>
      <w:r w:rsidRPr="007F02C7">
        <w:rPr>
          <w:rFonts w:eastAsia="Times New Roman"/>
          <w:color w:val="000000"/>
          <w:sz w:val="20"/>
          <w:lang w:val="fr-BE"/>
        </w:rPr>
        <w:t xml:space="preserve"> 12, 2014</w:t>
      </w:r>
      <w:r w:rsidRPr="007F02C7">
        <w:rPr>
          <w:rFonts w:eastAsia="Times New Roman"/>
          <w:color w:val="000000"/>
          <w:sz w:val="20"/>
          <w:lang w:val="fr-BE"/>
        </w:rPr>
        <w:tab/>
        <w:t>À jour au 12 juin 2014</w:t>
      </w:r>
    </w:p>
    <w:p w:rsidR="0074769E" w:rsidRDefault="007F02C7">
      <w:pPr>
        <w:tabs>
          <w:tab w:val="right" w:pos="9936"/>
        </w:tabs>
        <w:spacing w:before="1438" w:line="240" w:lineRule="exact"/>
        <w:textAlignment w:val="baseline"/>
        <w:rPr>
          <w:rFonts w:eastAsia="Times New Roman"/>
          <w:color w:val="000000"/>
          <w:sz w:val="20"/>
        </w:rPr>
      </w:pPr>
      <w:r>
        <w:rPr>
          <w:rFonts w:eastAsia="Times New Roman"/>
          <w:color w:val="000000"/>
          <w:sz w:val="20"/>
        </w:rPr>
        <w:t>Published by the Minister of Justice at the following address:</w:t>
      </w:r>
      <w:r>
        <w:rPr>
          <w:rFonts w:eastAsia="Times New Roman"/>
          <w:color w:val="000000"/>
          <w:sz w:val="20"/>
        </w:rPr>
        <w:tab/>
      </w:r>
      <w:proofErr w:type="spellStart"/>
      <w:r>
        <w:rPr>
          <w:rFonts w:eastAsia="Times New Roman"/>
          <w:color w:val="000000"/>
          <w:sz w:val="20"/>
        </w:rPr>
        <w:t>Publié</w:t>
      </w:r>
      <w:proofErr w:type="spellEnd"/>
      <w:r>
        <w:rPr>
          <w:rFonts w:eastAsia="Times New Roman"/>
          <w:color w:val="000000"/>
          <w:sz w:val="20"/>
        </w:rPr>
        <w:t xml:space="preserve"> par le </w:t>
      </w:r>
      <w:proofErr w:type="spellStart"/>
      <w:r>
        <w:rPr>
          <w:rFonts w:eastAsia="Times New Roman"/>
          <w:color w:val="000000"/>
          <w:sz w:val="20"/>
        </w:rPr>
        <w:t>ministre</w:t>
      </w:r>
      <w:proofErr w:type="spellEnd"/>
      <w:r>
        <w:rPr>
          <w:rFonts w:eastAsia="Times New Roman"/>
          <w:color w:val="000000"/>
          <w:sz w:val="20"/>
        </w:rPr>
        <w:t xml:space="preserve"> de la Justice à </w:t>
      </w:r>
      <w:proofErr w:type="spellStart"/>
      <w:r>
        <w:rPr>
          <w:rFonts w:eastAsia="Times New Roman"/>
          <w:color w:val="000000"/>
          <w:sz w:val="20"/>
        </w:rPr>
        <w:t>l’adresse</w:t>
      </w:r>
      <w:proofErr w:type="spellEnd"/>
      <w:r>
        <w:rPr>
          <w:rFonts w:eastAsia="Times New Roman"/>
          <w:color w:val="000000"/>
          <w:sz w:val="20"/>
        </w:rPr>
        <w:t xml:space="preserve"> </w:t>
      </w:r>
      <w:proofErr w:type="spellStart"/>
      <w:proofErr w:type="gramStart"/>
      <w:r>
        <w:rPr>
          <w:rFonts w:eastAsia="Times New Roman"/>
          <w:color w:val="000000"/>
          <w:sz w:val="20"/>
        </w:rPr>
        <w:t>suivante</w:t>
      </w:r>
      <w:proofErr w:type="spellEnd"/>
      <w:r>
        <w:rPr>
          <w:rFonts w:eastAsia="Times New Roman"/>
          <w:color w:val="000000"/>
          <w:sz w:val="20"/>
        </w:rPr>
        <w:t xml:space="preserve"> :</w:t>
      </w:r>
      <w:proofErr w:type="gramEnd"/>
    </w:p>
    <w:p w:rsidR="0074769E" w:rsidRDefault="000679B7">
      <w:pPr>
        <w:tabs>
          <w:tab w:val="left" w:pos="6552"/>
        </w:tabs>
        <w:spacing w:line="240" w:lineRule="exact"/>
        <w:ind w:left="1296"/>
        <w:textAlignment w:val="baseline"/>
        <w:rPr>
          <w:rFonts w:eastAsia="Times New Roman"/>
          <w:color w:val="000000"/>
          <w:sz w:val="20"/>
        </w:rPr>
      </w:pPr>
      <w:hyperlink r:id="rId7">
        <w:r w:rsidR="007F02C7">
          <w:rPr>
            <w:rFonts w:eastAsia="Times New Roman"/>
            <w:color w:val="0000FF"/>
            <w:sz w:val="20"/>
            <w:u w:val="single"/>
          </w:rPr>
          <w:t>http://laws-lois.justice.gc.ca</w:t>
        </w:r>
      </w:hyperlink>
      <w:r w:rsidR="007F02C7">
        <w:rPr>
          <w:rFonts w:eastAsia="Times New Roman"/>
          <w:color w:val="000000"/>
          <w:sz w:val="20"/>
        </w:rPr>
        <w:tab/>
      </w:r>
      <w:hyperlink r:id="rId8">
        <w:r w:rsidR="007F02C7">
          <w:rPr>
            <w:rFonts w:eastAsia="Times New Roman"/>
            <w:color w:val="0000FF"/>
            <w:sz w:val="20"/>
            <w:u w:val="single"/>
          </w:rPr>
          <w:t>http://lois-laws.justice.gc.ca</w:t>
        </w:r>
      </w:hyperlink>
    </w:p>
    <w:p w:rsidR="0074769E" w:rsidRDefault="0074769E">
      <w:pPr>
        <w:sectPr w:rsidR="0074769E">
          <w:pgSz w:w="12240" w:h="15840"/>
          <w:pgMar w:top="1580" w:right="1088" w:bottom="1044" w:left="1032" w:header="720" w:footer="720" w:gutter="0"/>
          <w:cols w:space="720"/>
        </w:sectPr>
      </w:pPr>
    </w:p>
    <w:p w:rsidR="0074769E" w:rsidRDefault="007F02C7">
      <w:pPr>
        <w:spacing w:line="232" w:lineRule="exact"/>
        <w:jc w:val="center"/>
        <w:textAlignment w:val="baseline"/>
        <w:rPr>
          <w:rFonts w:eastAsia="Times New Roman"/>
          <w:color w:val="000000"/>
          <w:sz w:val="18"/>
        </w:rPr>
      </w:pPr>
      <w:r>
        <w:rPr>
          <w:rFonts w:eastAsia="Times New Roman"/>
          <w:color w:val="000000"/>
          <w:sz w:val="18"/>
        </w:rPr>
        <w:lastRenderedPageBreak/>
        <w:t xml:space="preserve">OFFICIAL STATUS </w:t>
      </w:r>
      <w:r>
        <w:rPr>
          <w:rFonts w:eastAsia="Times New Roman"/>
          <w:color w:val="000000"/>
          <w:sz w:val="18"/>
        </w:rPr>
        <w:br/>
        <w:t>OF CONSOLIDATIONS</w:t>
      </w:r>
    </w:p>
    <w:p w:rsidR="0074769E" w:rsidRDefault="007F02C7">
      <w:pPr>
        <w:spacing w:before="480" w:line="238" w:lineRule="exact"/>
        <w:ind w:firstLine="216"/>
        <w:jc w:val="both"/>
        <w:textAlignment w:val="baseline"/>
        <w:rPr>
          <w:rFonts w:eastAsia="Times New Roman"/>
          <w:color w:val="000000"/>
          <w:sz w:val="18"/>
        </w:rPr>
      </w:pPr>
      <w:r>
        <w:rPr>
          <w:rFonts w:eastAsia="Times New Roman"/>
          <w:color w:val="000000"/>
          <w:sz w:val="18"/>
        </w:rPr>
        <w:t xml:space="preserve">Subsections 31(1) and (3) of the </w:t>
      </w:r>
      <w:r>
        <w:rPr>
          <w:rFonts w:eastAsia="Times New Roman"/>
          <w:i/>
          <w:color w:val="000000"/>
          <w:sz w:val="20"/>
        </w:rPr>
        <w:t>Legislation Revision and Consolidation Act</w:t>
      </w:r>
      <w:r>
        <w:rPr>
          <w:rFonts w:eastAsia="Times New Roman"/>
          <w:color w:val="000000"/>
          <w:sz w:val="18"/>
        </w:rPr>
        <w:t>, in force on June 1, 2009, provide as follows:</w:t>
      </w:r>
    </w:p>
    <w:p w:rsidR="0074769E" w:rsidRPr="007F02C7" w:rsidRDefault="007F02C7">
      <w:pPr>
        <w:spacing w:line="232" w:lineRule="exact"/>
        <w:jc w:val="center"/>
        <w:textAlignment w:val="baseline"/>
        <w:rPr>
          <w:rFonts w:eastAsia="Times New Roman"/>
          <w:color w:val="000000"/>
          <w:sz w:val="18"/>
          <w:lang w:val="fr-BE"/>
        </w:rPr>
      </w:pPr>
      <w:r w:rsidRPr="007F02C7">
        <w:rPr>
          <w:lang w:val="fr-BE"/>
        </w:rPr>
        <w:br w:type="column"/>
      </w:r>
      <w:r w:rsidRPr="007F02C7">
        <w:rPr>
          <w:rFonts w:eastAsia="Times New Roman"/>
          <w:color w:val="000000"/>
          <w:sz w:val="18"/>
          <w:lang w:val="fr-BE"/>
        </w:rPr>
        <w:lastRenderedPageBreak/>
        <w:t xml:space="preserve">CARACTÈRE OFFICIEL </w:t>
      </w:r>
      <w:r w:rsidRPr="007F02C7">
        <w:rPr>
          <w:rFonts w:eastAsia="Times New Roman"/>
          <w:color w:val="000000"/>
          <w:sz w:val="18"/>
          <w:lang w:val="fr-BE"/>
        </w:rPr>
        <w:br/>
        <w:t>DES CODIFICATIONS</w:t>
      </w:r>
    </w:p>
    <w:p w:rsidR="0074769E" w:rsidRPr="007F02C7" w:rsidRDefault="007F02C7">
      <w:pPr>
        <w:spacing w:before="475" w:line="245" w:lineRule="exact"/>
        <w:ind w:firstLine="216"/>
        <w:jc w:val="both"/>
        <w:textAlignment w:val="baseline"/>
        <w:rPr>
          <w:rFonts w:eastAsia="Times New Roman"/>
          <w:color w:val="000000"/>
          <w:spacing w:val="4"/>
          <w:sz w:val="18"/>
          <w:lang w:val="fr-BE"/>
        </w:rPr>
      </w:pPr>
      <w:r w:rsidRPr="007F02C7">
        <w:rPr>
          <w:rFonts w:eastAsia="Times New Roman"/>
          <w:color w:val="000000"/>
          <w:spacing w:val="4"/>
          <w:sz w:val="18"/>
          <w:lang w:val="fr-BE"/>
        </w:rPr>
        <w:t xml:space="preserve">Les paragraphes 31(1) et (3) de la </w:t>
      </w:r>
      <w:r w:rsidRPr="007F02C7">
        <w:rPr>
          <w:rFonts w:eastAsia="Times New Roman"/>
          <w:i/>
          <w:color w:val="000000"/>
          <w:spacing w:val="4"/>
          <w:sz w:val="20"/>
          <w:lang w:val="fr-BE"/>
        </w:rPr>
        <w:t>Loi sur la révision et la codification des textes législatifs</w:t>
      </w:r>
      <w:r w:rsidRPr="007F02C7">
        <w:rPr>
          <w:rFonts w:eastAsia="Times New Roman"/>
          <w:color w:val="000000"/>
          <w:spacing w:val="4"/>
          <w:sz w:val="18"/>
          <w:lang w:val="fr-BE"/>
        </w:rPr>
        <w:t>, en vigueur le 1</w:t>
      </w:r>
      <w:r w:rsidRPr="007F02C7">
        <w:rPr>
          <w:rFonts w:eastAsia="Times New Roman"/>
          <w:color w:val="000000"/>
          <w:spacing w:val="4"/>
          <w:sz w:val="18"/>
          <w:vertAlign w:val="superscript"/>
          <w:lang w:val="fr-BE"/>
        </w:rPr>
        <w:t>er</w:t>
      </w:r>
      <w:r w:rsidRPr="007F02C7">
        <w:rPr>
          <w:rFonts w:eastAsia="Times New Roman"/>
          <w:color w:val="000000"/>
          <w:spacing w:val="4"/>
          <w:sz w:val="18"/>
          <w:lang w:val="fr-BE"/>
        </w:rPr>
        <w:t xml:space="preserve"> juin 2009, prévoient ce qui suit:</w:t>
      </w:r>
    </w:p>
    <w:p w:rsidR="0074769E" w:rsidRPr="007F02C7" w:rsidRDefault="0074769E">
      <w:pPr>
        <w:rPr>
          <w:lang w:val="fr-BE"/>
        </w:rPr>
        <w:sectPr w:rsidR="0074769E" w:rsidRPr="007F02C7">
          <w:pgSz w:w="12240" w:h="15840"/>
          <w:pgMar w:top="4560" w:right="2213" w:bottom="3801" w:left="2035" w:header="720" w:footer="720" w:gutter="0"/>
          <w:cols w:num="2" w:space="0" w:equalWidth="0">
            <w:col w:w="3850" w:space="292"/>
            <w:col w:w="3850" w:space="0"/>
          </w:cols>
        </w:sectPr>
      </w:pPr>
    </w:p>
    <w:p w:rsidR="0074769E" w:rsidRDefault="000679B7">
      <w:pPr>
        <w:spacing w:before="26" w:line="198" w:lineRule="exact"/>
        <w:ind w:firstLine="144"/>
        <w:jc w:val="both"/>
        <w:textAlignment w:val="baseline"/>
        <w:rPr>
          <w:rFonts w:eastAsia="Times New Roman"/>
          <w:b/>
          <w:color w:val="000000"/>
          <w:sz w:val="19"/>
        </w:rPr>
      </w:pPr>
      <w:r>
        <w:lastRenderedPageBreak/>
        <w:pict>
          <v:shapetype id="_x0000_t202" coordsize="21600,21600" o:spt="202" path="m,l,21600r21600,l21600,xe">
            <v:stroke joinstyle="miter"/>
            <v:path gradientshapeok="t" o:connecttype="rect"/>
          </v:shapetype>
          <v:shape id="_x0000_s0" o:spid="_x0000_s1034" type="#_x0000_t202" style="position:absolute;left:0;text-align:left;margin-left:48pt;margin-top:332.2pt;width:44.4pt;height:24.85pt;z-index:-251660800;mso-wrap-distance-left:0;mso-wrap-distance-right:0;mso-position-horizontal-relative:page;mso-position-vertical-relative:page" filled="f" stroked="f">
            <v:textbox inset="0,0,0,0">
              <w:txbxContent>
                <w:p w:rsidR="0074769E" w:rsidRDefault="007F02C7">
                  <w:pPr>
                    <w:spacing w:before="17" w:line="155" w:lineRule="exact"/>
                    <w:textAlignment w:val="baseline"/>
                    <w:rPr>
                      <w:rFonts w:eastAsia="Times New Roman"/>
                      <w:color w:val="000000"/>
                      <w:sz w:val="15"/>
                    </w:rPr>
                  </w:pPr>
                  <w:r>
                    <w:rPr>
                      <w:rFonts w:eastAsia="Times New Roman"/>
                      <w:color w:val="000000"/>
                      <w:sz w:val="15"/>
                    </w:rPr>
                    <w:t>Published consolidation is evidence</w:t>
                  </w:r>
                </w:p>
              </w:txbxContent>
            </v:textbox>
            <w10:wrap type="square" anchorx="page" anchory="page"/>
          </v:shape>
        </w:pict>
      </w:r>
      <w:r>
        <w:pict>
          <v:shape id="_x0000_s1033" type="#_x0000_t202" style="position:absolute;left:0;text-align:left;margin-left:516pt;margin-top:332.2pt;width:44.9pt;height:24.85pt;z-index:-251659776;mso-wrap-distance-left:0;mso-wrap-distance-right:0;mso-position-horizontal-relative:page;mso-position-vertical-relative:page" filled="f" stroked="f">
            <v:textbox inset="0,0,0,0">
              <w:txbxContent>
                <w:p w:rsidR="0074769E" w:rsidRDefault="007F02C7">
                  <w:pPr>
                    <w:spacing w:before="17" w:line="155" w:lineRule="exact"/>
                    <w:textAlignment w:val="baseline"/>
                    <w:rPr>
                      <w:rFonts w:eastAsia="Times New Roman"/>
                      <w:color w:val="000000"/>
                      <w:spacing w:val="-6"/>
                      <w:sz w:val="15"/>
                    </w:rPr>
                  </w:pPr>
                  <w:r>
                    <w:rPr>
                      <w:rFonts w:eastAsia="Times New Roman"/>
                      <w:color w:val="000000"/>
                      <w:spacing w:val="-6"/>
                      <w:sz w:val="15"/>
                    </w:rPr>
                    <w:t xml:space="preserve">Codifications </w:t>
                  </w:r>
                  <w:proofErr w:type="spellStart"/>
                  <w:r>
                    <w:rPr>
                      <w:rFonts w:eastAsia="Times New Roman"/>
                      <w:color w:val="000000"/>
                      <w:spacing w:val="-6"/>
                      <w:sz w:val="15"/>
                    </w:rPr>
                    <w:t>comme</w:t>
                  </w:r>
                  <w:proofErr w:type="spellEnd"/>
                  <w:r>
                    <w:rPr>
                      <w:rFonts w:eastAsia="Times New Roman"/>
                      <w:color w:val="000000"/>
                      <w:spacing w:val="-6"/>
                      <w:sz w:val="15"/>
                    </w:rPr>
                    <w:t xml:space="preserve"> </w:t>
                  </w:r>
                  <w:proofErr w:type="spellStart"/>
                  <w:r>
                    <w:rPr>
                      <w:rFonts w:eastAsia="Times New Roman"/>
                      <w:color w:val="000000"/>
                      <w:spacing w:val="-6"/>
                      <w:sz w:val="15"/>
                    </w:rPr>
                    <w:t>élément</w:t>
                  </w:r>
                  <w:proofErr w:type="spellEnd"/>
                  <w:r>
                    <w:rPr>
                      <w:rFonts w:eastAsia="Times New Roman"/>
                      <w:color w:val="000000"/>
                      <w:spacing w:val="-6"/>
                      <w:sz w:val="15"/>
                    </w:rPr>
                    <w:t xml:space="preserve"> de </w:t>
                  </w:r>
                  <w:proofErr w:type="spellStart"/>
                  <w:r>
                    <w:rPr>
                      <w:rFonts w:eastAsia="Times New Roman"/>
                      <w:color w:val="000000"/>
                      <w:spacing w:val="-6"/>
                      <w:sz w:val="15"/>
                    </w:rPr>
                    <w:t>preuve</w:t>
                  </w:r>
                  <w:proofErr w:type="spellEnd"/>
                </w:p>
              </w:txbxContent>
            </v:textbox>
            <w10:wrap type="square" anchorx="page" anchory="page"/>
          </v:shape>
        </w:pict>
      </w:r>
      <w:r w:rsidR="007F02C7">
        <w:rPr>
          <w:rFonts w:eastAsia="Times New Roman"/>
          <w:b/>
          <w:color w:val="000000"/>
          <w:sz w:val="19"/>
        </w:rPr>
        <w:t xml:space="preserve">31. </w:t>
      </w:r>
      <w:r w:rsidR="007F02C7">
        <w:rPr>
          <w:rFonts w:eastAsia="Times New Roman"/>
          <w:color w:val="000000"/>
          <w:sz w:val="18"/>
        </w:rPr>
        <w:t>(1) Every copy of a consolidated statute or consolidated regulation published by the Minister under this Act in either print or electronic form is ev</w:t>
      </w:r>
      <w:r w:rsidR="007F02C7">
        <w:rPr>
          <w:rFonts w:eastAsia="Times New Roman"/>
          <w:color w:val="000000"/>
          <w:sz w:val="18"/>
        </w:rPr>
        <w:softHyphen/>
        <w:t>idence of that statute or regulation and of its contents and every copy purporting to be published by the Minister is deemed to be so published, unless the contrary is shown.</w:t>
      </w:r>
    </w:p>
    <w:p w:rsidR="0074769E" w:rsidRPr="007F02C7" w:rsidRDefault="007F02C7">
      <w:pPr>
        <w:spacing w:before="26" w:line="198" w:lineRule="exact"/>
        <w:ind w:firstLine="144"/>
        <w:jc w:val="both"/>
        <w:textAlignment w:val="baseline"/>
        <w:rPr>
          <w:rFonts w:eastAsia="Times New Roman"/>
          <w:b/>
          <w:color w:val="000000"/>
          <w:sz w:val="19"/>
          <w:lang w:val="fr-BE"/>
        </w:rPr>
      </w:pPr>
      <w:r w:rsidRPr="007F02C7">
        <w:rPr>
          <w:lang w:val="fr-BE"/>
        </w:rPr>
        <w:br w:type="column"/>
      </w:r>
      <w:r w:rsidRPr="007F02C7">
        <w:rPr>
          <w:rFonts w:eastAsia="Times New Roman"/>
          <w:b/>
          <w:color w:val="000000"/>
          <w:sz w:val="19"/>
          <w:lang w:val="fr-BE"/>
        </w:rPr>
        <w:lastRenderedPageBreak/>
        <w:t xml:space="preserve">31. </w:t>
      </w:r>
      <w:r w:rsidRPr="007F02C7">
        <w:rPr>
          <w:rFonts w:eastAsia="Times New Roman"/>
          <w:color w:val="000000"/>
          <w:sz w:val="18"/>
          <w:lang w:val="fr-BE"/>
        </w:rPr>
        <w:t xml:space="preserve">(1) Tout exemplaire d'une loi codifiée ou d'un règlement codifié, publié par le ministre en vertu de la présente loi sur support papier ou sur support </w:t>
      </w:r>
      <w:proofErr w:type="spellStart"/>
      <w:r w:rsidRPr="007F02C7">
        <w:rPr>
          <w:rFonts w:eastAsia="Times New Roman"/>
          <w:color w:val="000000"/>
          <w:sz w:val="18"/>
          <w:lang w:val="fr-BE"/>
        </w:rPr>
        <w:t>élec-tronique</w:t>
      </w:r>
      <w:proofErr w:type="spellEnd"/>
      <w:r w:rsidRPr="007F02C7">
        <w:rPr>
          <w:rFonts w:eastAsia="Times New Roman"/>
          <w:color w:val="000000"/>
          <w:sz w:val="18"/>
          <w:lang w:val="fr-BE"/>
        </w:rPr>
        <w:t>, fait foi de cette loi ou de ce règlement et de son contenu. Tout exemplaire donné comme publié par le ministre est réputé avoir été ainsi publié, sauf preuve contraire.</w:t>
      </w:r>
    </w:p>
    <w:p w:rsidR="0074769E" w:rsidRPr="007F02C7" w:rsidRDefault="0074769E">
      <w:pPr>
        <w:rPr>
          <w:lang w:val="fr-BE"/>
        </w:rPr>
        <w:sectPr w:rsidR="0074769E" w:rsidRPr="007F02C7">
          <w:type w:val="continuous"/>
          <w:pgSz w:w="12240" w:h="15840"/>
          <w:pgMar w:top="4560" w:right="2194" w:bottom="3801" w:left="2031" w:header="720" w:footer="720" w:gutter="0"/>
          <w:cols w:num="2" w:space="0" w:equalWidth="0">
            <w:col w:w="3868" w:space="279"/>
            <w:col w:w="3868" w:space="0"/>
          </w:cols>
        </w:sectPr>
      </w:pPr>
    </w:p>
    <w:p w:rsidR="0074769E" w:rsidRDefault="007F02C7">
      <w:pPr>
        <w:tabs>
          <w:tab w:val="left" w:pos="5400"/>
        </w:tabs>
        <w:spacing w:before="72" w:after="191" w:line="217" w:lineRule="exact"/>
        <w:ind w:left="1152"/>
        <w:textAlignment w:val="baseline"/>
        <w:rPr>
          <w:rFonts w:eastAsia="Times New Roman"/>
          <w:color w:val="000000"/>
          <w:sz w:val="18"/>
        </w:rPr>
      </w:pPr>
      <w:r>
        <w:rPr>
          <w:rFonts w:eastAsia="Times New Roman"/>
          <w:color w:val="000000"/>
          <w:sz w:val="18"/>
        </w:rPr>
        <w:lastRenderedPageBreak/>
        <w:t>...</w:t>
      </w:r>
      <w:r>
        <w:rPr>
          <w:rFonts w:eastAsia="Times New Roman"/>
          <w:color w:val="000000"/>
          <w:sz w:val="18"/>
        </w:rPr>
        <w:tab/>
        <w:t>[...]</w:t>
      </w:r>
    </w:p>
    <w:tbl>
      <w:tblPr>
        <w:tblW w:w="0" w:type="auto"/>
        <w:tblLayout w:type="fixed"/>
        <w:tblCellMar>
          <w:left w:w="0" w:type="dxa"/>
          <w:right w:w="0" w:type="dxa"/>
        </w:tblCellMar>
        <w:tblLook w:val="0000" w:firstRow="0" w:lastRow="0" w:firstColumn="0" w:lastColumn="0" w:noHBand="0" w:noVBand="0"/>
      </w:tblPr>
      <w:tblGrid>
        <w:gridCol w:w="969"/>
        <w:gridCol w:w="4107"/>
        <w:gridCol w:w="4132"/>
        <w:gridCol w:w="1012"/>
      </w:tblGrid>
      <w:tr w:rsidR="0074769E">
        <w:trPr>
          <w:trHeight w:hRule="exact" w:val="1420"/>
        </w:trPr>
        <w:tc>
          <w:tcPr>
            <w:tcW w:w="969" w:type="dxa"/>
            <w:tcBorders>
              <w:top w:val="none" w:sz="0" w:space="0" w:color="000000"/>
              <w:left w:val="none" w:sz="0" w:space="0" w:color="000000"/>
              <w:bottom w:val="none" w:sz="0" w:space="0" w:color="000000"/>
              <w:right w:val="none" w:sz="0" w:space="0" w:color="000000"/>
            </w:tcBorders>
          </w:tcPr>
          <w:p w:rsidR="0074769E" w:rsidRDefault="007F02C7">
            <w:pPr>
              <w:spacing w:before="71" w:after="1028" w:line="159" w:lineRule="exact"/>
              <w:textAlignment w:val="baseline"/>
              <w:rPr>
                <w:rFonts w:eastAsia="Times New Roman"/>
                <w:color w:val="000000"/>
                <w:sz w:val="15"/>
              </w:rPr>
            </w:pPr>
            <w:r>
              <w:rPr>
                <w:rFonts w:eastAsia="Times New Roman"/>
                <w:color w:val="000000"/>
                <w:sz w:val="15"/>
              </w:rPr>
              <w:t>Inconsistencies in regulations</w:t>
            </w:r>
          </w:p>
        </w:tc>
        <w:tc>
          <w:tcPr>
            <w:tcW w:w="4107" w:type="dxa"/>
            <w:tcBorders>
              <w:top w:val="none" w:sz="0" w:space="0" w:color="000000"/>
              <w:left w:val="none" w:sz="0" w:space="0" w:color="000000"/>
              <w:bottom w:val="none" w:sz="0" w:space="0" w:color="000000"/>
              <w:right w:val="none" w:sz="0" w:space="0" w:color="000000"/>
            </w:tcBorders>
          </w:tcPr>
          <w:p w:rsidR="0074769E" w:rsidRDefault="007F02C7">
            <w:pPr>
              <w:spacing w:after="5" w:line="200" w:lineRule="exact"/>
              <w:ind w:left="72" w:right="144" w:firstLine="216"/>
              <w:jc w:val="both"/>
              <w:textAlignment w:val="baseline"/>
              <w:rPr>
                <w:rFonts w:eastAsia="Times New Roman"/>
                <w:color w:val="000000"/>
                <w:sz w:val="18"/>
              </w:rPr>
            </w:pPr>
            <w:r>
              <w:rPr>
                <w:rFonts w:eastAsia="Times New Roman"/>
                <w:color w:val="000000"/>
                <w:sz w:val="18"/>
              </w:rPr>
              <w:t>(3) In the event of an inconsistency between a consolidated regulation published by the Minister under this Act and the original regulation or a subse</w:t>
            </w:r>
            <w:r>
              <w:rPr>
                <w:rFonts w:eastAsia="Times New Roman"/>
                <w:color w:val="000000"/>
                <w:sz w:val="18"/>
              </w:rPr>
              <w:softHyphen/>
              <w:t xml:space="preserve">quent amendment as registered by the Clerk of the Privy Council under the </w:t>
            </w:r>
            <w:r>
              <w:rPr>
                <w:rFonts w:eastAsia="Times New Roman"/>
                <w:i/>
                <w:color w:val="000000"/>
                <w:sz w:val="20"/>
              </w:rPr>
              <w:t>Statutory Instruments Act</w:t>
            </w:r>
            <w:r>
              <w:rPr>
                <w:rFonts w:eastAsia="Times New Roman"/>
                <w:color w:val="000000"/>
                <w:sz w:val="18"/>
              </w:rPr>
              <w:t>, the original regulation or amendment prevails to the extent of the inconsistency.</w:t>
            </w:r>
          </w:p>
        </w:tc>
        <w:tc>
          <w:tcPr>
            <w:tcW w:w="4132" w:type="dxa"/>
            <w:tcBorders>
              <w:top w:val="none" w:sz="0" w:space="0" w:color="000000"/>
              <w:left w:val="none" w:sz="0" w:space="0" w:color="000000"/>
              <w:bottom w:val="none" w:sz="0" w:space="0" w:color="000000"/>
              <w:right w:val="none" w:sz="0" w:space="0" w:color="000000"/>
            </w:tcBorders>
          </w:tcPr>
          <w:p w:rsidR="0074769E" w:rsidRPr="007F02C7" w:rsidRDefault="007F02C7">
            <w:pPr>
              <w:spacing w:after="207" w:line="199" w:lineRule="exact"/>
              <w:ind w:left="144" w:right="144" w:firstLine="144"/>
              <w:jc w:val="both"/>
              <w:textAlignment w:val="baseline"/>
              <w:rPr>
                <w:rFonts w:eastAsia="Times New Roman"/>
                <w:color w:val="000000"/>
                <w:spacing w:val="-2"/>
                <w:sz w:val="18"/>
                <w:lang w:val="fr-BE"/>
              </w:rPr>
            </w:pPr>
            <w:r w:rsidRPr="007F02C7">
              <w:rPr>
                <w:rFonts w:eastAsia="Times New Roman"/>
                <w:color w:val="000000"/>
                <w:spacing w:val="-2"/>
                <w:sz w:val="18"/>
                <w:lang w:val="fr-BE"/>
              </w:rPr>
              <w:t xml:space="preserve">(3) Les dispositions du règlement d'origine avec ses modifications subséquentes enregistrées par le greffier du Conseil privé en vertu de la </w:t>
            </w:r>
            <w:r w:rsidRPr="007F02C7">
              <w:rPr>
                <w:rFonts w:eastAsia="Times New Roman"/>
                <w:i/>
                <w:color w:val="000000"/>
                <w:spacing w:val="-2"/>
                <w:sz w:val="20"/>
                <w:lang w:val="fr-BE"/>
              </w:rPr>
              <w:t xml:space="preserve">Loi sur les textes réglementaires </w:t>
            </w:r>
            <w:r w:rsidRPr="007F02C7">
              <w:rPr>
                <w:rFonts w:eastAsia="Times New Roman"/>
                <w:color w:val="000000"/>
                <w:spacing w:val="-2"/>
                <w:sz w:val="18"/>
                <w:lang w:val="fr-BE"/>
              </w:rPr>
              <w:t xml:space="preserve">l'emportent sur les dispositions incompatibles du règlement codifié publié par le </w:t>
            </w:r>
            <w:proofErr w:type="spellStart"/>
            <w:r w:rsidRPr="007F02C7">
              <w:rPr>
                <w:rFonts w:eastAsia="Times New Roman"/>
                <w:color w:val="000000"/>
                <w:spacing w:val="-2"/>
                <w:sz w:val="18"/>
                <w:lang w:val="fr-BE"/>
              </w:rPr>
              <w:t>mi-nistre</w:t>
            </w:r>
            <w:proofErr w:type="spellEnd"/>
            <w:r w:rsidRPr="007F02C7">
              <w:rPr>
                <w:rFonts w:eastAsia="Times New Roman"/>
                <w:color w:val="000000"/>
                <w:spacing w:val="-2"/>
                <w:sz w:val="18"/>
                <w:lang w:val="fr-BE"/>
              </w:rPr>
              <w:t xml:space="preserve"> en vertu de la présente loi.</w:t>
            </w:r>
          </w:p>
        </w:tc>
        <w:tc>
          <w:tcPr>
            <w:tcW w:w="1012" w:type="dxa"/>
            <w:tcBorders>
              <w:top w:val="none" w:sz="0" w:space="0" w:color="000000"/>
              <w:left w:val="none" w:sz="0" w:space="0" w:color="000000"/>
              <w:bottom w:val="none" w:sz="0" w:space="0" w:color="000000"/>
              <w:right w:val="none" w:sz="0" w:space="0" w:color="000000"/>
            </w:tcBorders>
          </w:tcPr>
          <w:p w:rsidR="0074769E" w:rsidRDefault="007F02C7">
            <w:pPr>
              <w:spacing w:before="71" w:after="1028" w:line="159" w:lineRule="exact"/>
              <w:jc w:val="center"/>
              <w:textAlignment w:val="baseline"/>
              <w:rPr>
                <w:rFonts w:eastAsia="Times New Roman"/>
                <w:color w:val="000000"/>
                <w:sz w:val="15"/>
              </w:rPr>
            </w:pPr>
            <w:proofErr w:type="spellStart"/>
            <w:r>
              <w:rPr>
                <w:rFonts w:eastAsia="Times New Roman"/>
                <w:color w:val="000000"/>
                <w:sz w:val="15"/>
              </w:rPr>
              <w:t>Incompatibilité</w:t>
            </w:r>
            <w:proofErr w:type="spellEnd"/>
            <w:r>
              <w:rPr>
                <w:rFonts w:eastAsia="Times New Roman"/>
                <w:color w:val="000000"/>
                <w:sz w:val="15"/>
              </w:rPr>
              <w:t xml:space="preserve"> </w:t>
            </w:r>
            <w:r>
              <w:rPr>
                <w:rFonts w:eastAsia="Times New Roman"/>
                <w:color w:val="000000"/>
                <w:sz w:val="15"/>
              </w:rPr>
              <w:br/>
              <w:t xml:space="preserve">— </w:t>
            </w:r>
            <w:proofErr w:type="spellStart"/>
            <w:r>
              <w:rPr>
                <w:rFonts w:eastAsia="Times New Roman"/>
                <w:color w:val="000000"/>
                <w:sz w:val="15"/>
              </w:rPr>
              <w:t>règlements</w:t>
            </w:r>
            <w:proofErr w:type="spellEnd"/>
          </w:p>
        </w:tc>
      </w:tr>
    </w:tbl>
    <w:p w:rsidR="0074769E" w:rsidRDefault="0074769E">
      <w:pPr>
        <w:spacing w:after="484" w:line="20" w:lineRule="exact"/>
      </w:pPr>
    </w:p>
    <w:p w:rsidR="0074769E" w:rsidRDefault="007F02C7">
      <w:pPr>
        <w:tabs>
          <w:tab w:val="left" w:pos="6840"/>
        </w:tabs>
        <w:spacing w:after="188" w:line="212" w:lineRule="exact"/>
        <w:ind w:left="2736"/>
        <w:textAlignment w:val="baseline"/>
        <w:rPr>
          <w:rFonts w:eastAsia="Times New Roman"/>
          <w:color w:val="000000"/>
          <w:spacing w:val="8"/>
          <w:sz w:val="18"/>
        </w:rPr>
      </w:pPr>
      <w:r>
        <w:rPr>
          <w:rFonts w:eastAsia="Times New Roman"/>
          <w:color w:val="000000"/>
          <w:spacing w:val="8"/>
          <w:sz w:val="18"/>
        </w:rPr>
        <w:t>NOTE</w:t>
      </w:r>
      <w:r>
        <w:rPr>
          <w:rFonts w:eastAsia="Times New Roman"/>
          <w:color w:val="000000"/>
          <w:spacing w:val="8"/>
          <w:sz w:val="18"/>
        </w:rPr>
        <w:tab/>
      </w:r>
      <w:proofErr w:type="spellStart"/>
      <w:r>
        <w:rPr>
          <w:rFonts w:eastAsia="Times New Roman"/>
          <w:color w:val="000000"/>
          <w:spacing w:val="8"/>
          <w:sz w:val="18"/>
        </w:rPr>
        <w:t>NOTE</w:t>
      </w:r>
      <w:proofErr w:type="spellEnd"/>
    </w:p>
    <w:p w:rsidR="0074769E" w:rsidRDefault="0074769E">
      <w:pPr>
        <w:spacing w:after="188" w:line="212" w:lineRule="exact"/>
        <w:sectPr w:rsidR="0074769E">
          <w:type w:val="continuous"/>
          <w:pgSz w:w="12240" w:h="15840"/>
          <w:pgMar w:top="4560" w:right="1060" w:bottom="3801" w:left="960" w:header="720" w:footer="720" w:gutter="0"/>
          <w:cols w:space="720"/>
        </w:sectPr>
      </w:pPr>
    </w:p>
    <w:p w:rsidR="0074769E" w:rsidRDefault="007F02C7">
      <w:pPr>
        <w:spacing w:before="12" w:line="199" w:lineRule="exact"/>
        <w:jc w:val="both"/>
        <w:textAlignment w:val="baseline"/>
        <w:rPr>
          <w:rFonts w:eastAsia="Times New Roman"/>
          <w:color w:val="000000"/>
          <w:sz w:val="18"/>
        </w:rPr>
      </w:pPr>
      <w:r>
        <w:rPr>
          <w:rFonts w:eastAsia="Times New Roman"/>
          <w:color w:val="000000"/>
          <w:sz w:val="18"/>
        </w:rPr>
        <w:lastRenderedPageBreak/>
        <w:t>This consolidation is current to June 12, 2014. Any amendments that were not in force as of June 12, 2014 are set out at the end of this document under the heading “Amendments Not in Force”.</w:t>
      </w:r>
    </w:p>
    <w:p w:rsidR="0074769E" w:rsidRPr="007F02C7" w:rsidRDefault="007F02C7">
      <w:pPr>
        <w:spacing w:before="12" w:line="199" w:lineRule="exact"/>
        <w:jc w:val="both"/>
        <w:textAlignment w:val="baseline"/>
        <w:rPr>
          <w:rFonts w:eastAsia="Times New Roman"/>
          <w:color w:val="000000"/>
          <w:sz w:val="18"/>
          <w:lang w:val="fr-BE"/>
        </w:rPr>
      </w:pPr>
      <w:r w:rsidRPr="007F02C7">
        <w:rPr>
          <w:lang w:val="fr-BE"/>
        </w:rPr>
        <w:br w:type="column"/>
      </w:r>
      <w:r w:rsidRPr="007F02C7">
        <w:rPr>
          <w:rFonts w:eastAsia="Times New Roman"/>
          <w:color w:val="000000"/>
          <w:sz w:val="18"/>
          <w:lang w:val="fr-BE"/>
        </w:rPr>
        <w:lastRenderedPageBreak/>
        <w:t>Cette codification est à jour au 12 juin 2014. Toutes modifications qui n'étaient pas en vigueur au 12 juin 2014 sont énoncées à la fin de ce document sous le titre « Modifications non en vigueur ».</w:t>
      </w:r>
    </w:p>
    <w:p w:rsidR="0074769E" w:rsidRPr="007F02C7" w:rsidRDefault="0074769E">
      <w:pPr>
        <w:rPr>
          <w:lang w:val="fr-BE"/>
        </w:rPr>
        <w:sectPr w:rsidR="0074769E" w:rsidRPr="007F02C7">
          <w:type w:val="continuous"/>
          <w:pgSz w:w="12240" w:h="15840"/>
          <w:pgMar w:top="4560" w:right="2213" w:bottom="3801" w:left="2040" w:header="720" w:footer="720" w:gutter="0"/>
          <w:cols w:num="2" w:space="0" w:equalWidth="0">
            <w:col w:w="3850" w:space="287"/>
            <w:col w:w="3850" w:space="0"/>
          </w:cols>
        </w:sectPr>
      </w:pPr>
    </w:p>
    <w:p w:rsidR="0074769E" w:rsidRPr="007F02C7" w:rsidRDefault="000679B7">
      <w:pPr>
        <w:tabs>
          <w:tab w:val="left" w:pos="7056"/>
        </w:tabs>
        <w:spacing w:line="256" w:lineRule="exact"/>
        <w:ind w:left="1368"/>
        <w:textAlignment w:val="baseline"/>
        <w:rPr>
          <w:rFonts w:eastAsia="Times New Roman"/>
          <w:color w:val="000000"/>
          <w:lang w:val="fr-BE"/>
        </w:rPr>
      </w:pPr>
      <w:r>
        <w:lastRenderedPageBreak/>
        <w:pict>
          <v:shape id="_x0000_s1032" type="#_x0000_t202" style="position:absolute;left:0;text-align:left;margin-left:298.65pt;margin-top:743.3pt;width:14.45pt;height:12.65pt;z-index:-251658752;mso-wrap-distance-left:0;mso-wrap-distance-right:0;mso-position-horizontal-relative:page;mso-position-vertical-relative:page" filled="f" stroked="f">
            <v:textbox inset="0,0,0,0">
              <w:txbxContent>
                <w:p w:rsidR="0074769E" w:rsidRDefault="007F02C7">
                  <w:pPr>
                    <w:spacing w:line="239" w:lineRule="exact"/>
                    <w:textAlignment w:val="baseline"/>
                    <w:rPr>
                      <w:rFonts w:eastAsia="Times New Roman"/>
                      <w:color w:val="000000"/>
                    </w:rPr>
                  </w:pPr>
                  <w:r>
                    <w:rPr>
                      <w:rFonts w:eastAsia="Times New Roman"/>
                      <w:color w:val="000000"/>
                    </w:rPr>
                    <w:t>3</w:t>
                  </w:r>
                </w:p>
              </w:txbxContent>
            </v:textbox>
            <w10:wrap type="square" anchorx="page" anchory="page"/>
          </v:shape>
        </w:pict>
      </w:r>
      <w:r w:rsidR="007F02C7" w:rsidRPr="007F02C7">
        <w:rPr>
          <w:rFonts w:eastAsia="Times New Roman"/>
          <w:color w:val="000000"/>
          <w:lang w:val="fr-BE"/>
        </w:rPr>
        <w:t>TABLE OF PROVISIONS</w:t>
      </w:r>
      <w:r w:rsidR="007F02C7" w:rsidRPr="007F02C7">
        <w:rPr>
          <w:rFonts w:eastAsia="Times New Roman"/>
          <w:color w:val="000000"/>
          <w:lang w:val="fr-BE"/>
        </w:rPr>
        <w:tab/>
        <w:t>TABLE ANALYTIQUE</w:t>
      </w:r>
    </w:p>
    <w:p w:rsidR="0074769E" w:rsidRPr="007F02C7" w:rsidRDefault="007F02C7">
      <w:pPr>
        <w:tabs>
          <w:tab w:val="left" w:pos="4248"/>
          <w:tab w:val="left" w:pos="5688"/>
          <w:tab w:val="right" w:pos="10440"/>
        </w:tabs>
        <w:spacing w:before="303" w:after="101" w:line="259" w:lineRule="exact"/>
        <w:textAlignment w:val="baseline"/>
        <w:rPr>
          <w:rFonts w:eastAsia="Times New Roman"/>
          <w:color w:val="000000"/>
          <w:lang w:val="fr-BE"/>
        </w:rPr>
      </w:pPr>
      <w:r w:rsidRPr="007F02C7">
        <w:rPr>
          <w:rFonts w:eastAsia="Times New Roman"/>
          <w:color w:val="000000"/>
          <w:lang w:val="fr-BE"/>
        </w:rPr>
        <w:t>Section</w:t>
      </w:r>
      <w:r w:rsidRPr="007F02C7">
        <w:rPr>
          <w:rFonts w:eastAsia="Times New Roman"/>
          <w:color w:val="000000"/>
          <w:lang w:val="fr-BE"/>
        </w:rPr>
        <w:tab/>
        <w:t>Page</w:t>
      </w:r>
      <w:r w:rsidRPr="007F02C7">
        <w:rPr>
          <w:rFonts w:eastAsia="Times New Roman"/>
          <w:color w:val="000000"/>
          <w:lang w:val="fr-BE"/>
        </w:rPr>
        <w:tab/>
        <w:t>Article</w:t>
      </w:r>
      <w:r w:rsidRPr="007F02C7">
        <w:rPr>
          <w:rFonts w:eastAsia="Times New Roman"/>
          <w:color w:val="000000"/>
          <w:lang w:val="fr-BE"/>
        </w:rPr>
        <w:tab/>
        <w:t>Page</w:t>
      </w:r>
    </w:p>
    <w:tbl>
      <w:tblPr>
        <w:tblW w:w="0" w:type="auto"/>
        <w:tblLayout w:type="fixed"/>
        <w:tblCellMar>
          <w:left w:w="0" w:type="dxa"/>
          <w:right w:w="0" w:type="dxa"/>
        </w:tblCellMar>
        <w:tblLook w:val="0000" w:firstRow="0" w:lastRow="0" w:firstColumn="0" w:lastColumn="0" w:noHBand="0" w:noVBand="0"/>
      </w:tblPr>
      <w:tblGrid>
        <w:gridCol w:w="5184"/>
        <w:gridCol w:w="5276"/>
      </w:tblGrid>
      <w:tr w:rsidR="0074769E" w:rsidRPr="007F02C7">
        <w:trPr>
          <w:trHeight w:hRule="exact" w:val="698"/>
        </w:trPr>
        <w:tc>
          <w:tcPr>
            <w:tcW w:w="5184" w:type="dxa"/>
            <w:tcBorders>
              <w:top w:val="none" w:sz="0" w:space="0" w:color="000000"/>
              <w:left w:val="none" w:sz="0" w:space="0" w:color="000000"/>
              <w:bottom w:val="none" w:sz="0" w:space="0" w:color="000000"/>
              <w:right w:val="none" w:sz="0" w:space="0" w:color="000000"/>
            </w:tcBorders>
          </w:tcPr>
          <w:p w:rsidR="0074769E" w:rsidRDefault="007F02C7">
            <w:pPr>
              <w:spacing w:after="192" w:line="240" w:lineRule="exact"/>
              <w:ind w:left="864" w:right="1404"/>
              <w:textAlignment w:val="baseline"/>
              <w:rPr>
                <w:rFonts w:eastAsia="Times New Roman"/>
                <w:color w:val="000000"/>
              </w:rPr>
            </w:pPr>
            <w:r>
              <w:rPr>
                <w:rFonts w:eastAsia="Times New Roman"/>
                <w:color w:val="000000"/>
              </w:rPr>
              <w:t>International Criminal Court Privileges and Immunities Order</w:t>
            </w:r>
          </w:p>
        </w:tc>
        <w:tc>
          <w:tcPr>
            <w:tcW w:w="5276" w:type="dxa"/>
            <w:tcBorders>
              <w:top w:val="none" w:sz="0" w:space="0" w:color="000000"/>
              <w:left w:val="none" w:sz="0" w:space="0" w:color="000000"/>
              <w:bottom w:val="none" w:sz="0" w:space="0" w:color="000000"/>
              <w:right w:val="none" w:sz="0" w:space="0" w:color="000000"/>
            </w:tcBorders>
          </w:tcPr>
          <w:p w:rsidR="0074769E" w:rsidRPr="007F02C7" w:rsidRDefault="007F02C7">
            <w:pPr>
              <w:spacing w:line="228" w:lineRule="exact"/>
              <w:ind w:left="1404" w:right="540"/>
              <w:textAlignment w:val="baseline"/>
              <w:rPr>
                <w:rFonts w:eastAsia="Times New Roman"/>
                <w:color w:val="000000"/>
                <w:spacing w:val="1"/>
                <w:lang w:val="fr-BE"/>
              </w:rPr>
            </w:pPr>
            <w:r w:rsidRPr="007F02C7">
              <w:rPr>
                <w:rFonts w:eastAsia="Times New Roman"/>
                <w:color w:val="000000"/>
                <w:spacing w:val="1"/>
                <w:lang w:val="fr-BE"/>
              </w:rPr>
              <w:t>Décret sur les privilèges et immunités relatifs à la Cour pénale internationale</w:t>
            </w:r>
          </w:p>
        </w:tc>
      </w:tr>
    </w:tbl>
    <w:p w:rsidR="0074769E" w:rsidRPr="007F02C7" w:rsidRDefault="0074769E">
      <w:pPr>
        <w:spacing w:after="160" w:line="20" w:lineRule="exact"/>
        <w:rPr>
          <w:lang w:val="fr-BE"/>
        </w:rPr>
      </w:pPr>
    </w:p>
    <w:p w:rsidR="0074769E" w:rsidRPr="007F02C7" w:rsidRDefault="007F02C7">
      <w:pPr>
        <w:tabs>
          <w:tab w:val="left" w:pos="864"/>
          <w:tab w:val="left" w:pos="4608"/>
          <w:tab w:val="left" w:pos="5688"/>
          <w:tab w:val="left" w:pos="6552"/>
          <w:tab w:val="right" w:pos="10440"/>
        </w:tabs>
        <w:spacing w:line="253" w:lineRule="exact"/>
        <w:textAlignment w:val="baseline"/>
        <w:rPr>
          <w:rFonts w:eastAsia="Times New Roman"/>
          <w:color w:val="000000"/>
          <w:lang w:val="fr-BE"/>
        </w:rPr>
      </w:pPr>
      <w:r w:rsidRPr="007F02C7">
        <w:rPr>
          <w:rFonts w:eastAsia="Times New Roman"/>
          <w:color w:val="000000"/>
          <w:lang w:val="fr-BE"/>
        </w:rPr>
        <w:t>1</w:t>
      </w:r>
      <w:r w:rsidRPr="007F02C7">
        <w:rPr>
          <w:rFonts w:eastAsia="Times New Roman"/>
          <w:color w:val="000000"/>
          <w:lang w:val="fr-BE"/>
        </w:rPr>
        <w:tab/>
        <w:t>INTERPRETATION</w:t>
      </w:r>
      <w:r w:rsidRPr="007F02C7">
        <w:rPr>
          <w:rFonts w:eastAsia="Times New Roman"/>
          <w:color w:val="000000"/>
          <w:lang w:val="fr-BE"/>
        </w:rPr>
        <w:tab/>
        <w:t>1</w:t>
      </w:r>
      <w:r w:rsidRPr="007F02C7">
        <w:rPr>
          <w:rFonts w:eastAsia="Times New Roman"/>
          <w:color w:val="000000"/>
          <w:lang w:val="fr-BE"/>
        </w:rPr>
        <w:tab/>
        <w:t>1</w:t>
      </w:r>
      <w:r w:rsidRPr="007F02C7">
        <w:rPr>
          <w:rFonts w:eastAsia="Times New Roman"/>
          <w:color w:val="000000"/>
          <w:lang w:val="fr-BE"/>
        </w:rPr>
        <w:tab/>
        <w:t>DÉFINITIONS</w:t>
      </w:r>
      <w:r w:rsidRPr="007F02C7">
        <w:rPr>
          <w:rFonts w:eastAsia="Times New Roman"/>
          <w:color w:val="000000"/>
          <w:lang w:val="fr-BE"/>
        </w:rPr>
        <w:tab/>
        <w:t>1</w:t>
      </w:r>
    </w:p>
    <w:p w:rsidR="0074769E" w:rsidRPr="007F02C7" w:rsidRDefault="007F02C7">
      <w:pPr>
        <w:tabs>
          <w:tab w:val="left" w:pos="864"/>
          <w:tab w:val="left" w:pos="4608"/>
          <w:tab w:val="left" w:pos="5688"/>
          <w:tab w:val="left" w:pos="6552"/>
          <w:tab w:val="right" w:pos="10440"/>
        </w:tabs>
        <w:spacing w:before="63" w:line="259" w:lineRule="exact"/>
        <w:textAlignment w:val="baseline"/>
        <w:rPr>
          <w:rFonts w:eastAsia="Times New Roman"/>
          <w:color w:val="000000"/>
          <w:lang w:val="fr-BE"/>
        </w:rPr>
      </w:pPr>
      <w:r w:rsidRPr="007F02C7">
        <w:rPr>
          <w:rFonts w:eastAsia="Times New Roman"/>
          <w:color w:val="000000"/>
          <w:lang w:val="fr-BE"/>
        </w:rPr>
        <w:t>2</w:t>
      </w:r>
      <w:r w:rsidRPr="007F02C7">
        <w:rPr>
          <w:rFonts w:eastAsia="Times New Roman"/>
          <w:color w:val="000000"/>
          <w:lang w:val="fr-BE"/>
        </w:rPr>
        <w:tab/>
        <w:t>PRIVILEGES AND IMMUNITIES</w:t>
      </w:r>
      <w:r w:rsidRPr="007F02C7">
        <w:rPr>
          <w:rFonts w:eastAsia="Times New Roman"/>
          <w:color w:val="000000"/>
          <w:lang w:val="fr-BE"/>
        </w:rPr>
        <w:tab/>
        <w:t>1</w:t>
      </w:r>
      <w:r w:rsidRPr="007F02C7">
        <w:rPr>
          <w:rFonts w:eastAsia="Times New Roman"/>
          <w:color w:val="000000"/>
          <w:lang w:val="fr-BE"/>
        </w:rPr>
        <w:tab/>
        <w:t>2</w:t>
      </w:r>
      <w:r w:rsidRPr="007F02C7">
        <w:rPr>
          <w:rFonts w:eastAsia="Times New Roman"/>
          <w:color w:val="000000"/>
          <w:lang w:val="fr-BE"/>
        </w:rPr>
        <w:tab/>
        <w:t>PRIVILÈGES ET IMMUNITÉS</w:t>
      </w:r>
      <w:r w:rsidRPr="007F02C7">
        <w:rPr>
          <w:rFonts w:eastAsia="Times New Roman"/>
          <w:color w:val="000000"/>
          <w:lang w:val="fr-BE"/>
        </w:rPr>
        <w:tab/>
        <w:t>1</w:t>
      </w:r>
    </w:p>
    <w:p w:rsidR="0074769E" w:rsidRPr="007F02C7" w:rsidRDefault="007F02C7">
      <w:pPr>
        <w:tabs>
          <w:tab w:val="left" w:pos="864"/>
          <w:tab w:val="left" w:pos="4608"/>
          <w:tab w:val="left" w:pos="5688"/>
          <w:tab w:val="left" w:pos="6552"/>
          <w:tab w:val="right" w:pos="10440"/>
        </w:tabs>
        <w:spacing w:before="62" w:line="259" w:lineRule="exact"/>
        <w:textAlignment w:val="baseline"/>
        <w:rPr>
          <w:rFonts w:eastAsia="Times New Roman"/>
          <w:color w:val="000000"/>
          <w:lang w:val="fr-BE"/>
        </w:rPr>
      </w:pPr>
      <w:r w:rsidRPr="007F02C7">
        <w:rPr>
          <w:rFonts w:eastAsia="Times New Roman"/>
          <w:color w:val="000000"/>
          <w:lang w:val="fr-BE"/>
        </w:rPr>
        <w:t>3</w:t>
      </w:r>
      <w:r w:rsidRPr="007F02C7">
        <w:rPr>
          <w:rFonts w:eastAsia="Times New Roman"/>
          <w:color w:val="000000"/>
          <w:lang w:val="fr-BE"/>
        </w:rPr>
        <w:tab/>
        <w:t>COMING INTO FORCE</w:t>
      </w:r>
      <w:r w:rsidRPr="007F02C7">
        <w:rPr>
          <w:rFonts w:eastAsia="Times New Roman"/>
          <w:color w:val="000000"/>
          <w:lang w:val="fr-BE"/>
        </w:rPr>
        <w:tab/>
        <w:t>2</w:t>
      </w:r>
      <w:r w:rsidRPr="007F02C7">
        <w:rPr>
          <w:rFonts w:eastAsia="Times New Roman"/>
          <w:color w:val="000000"/>
          <w:lang w:val="fr-BE"/>
        </w:rPr>
        <w:tab/>
        <w:t>3</w:t>
      </w:r>
      <w:r w:rsidRPr="007F02C7">
        <w:rPr>
          <w:rFonts w:eastAsia="Times New Roman"/>
          <w:color w:val="000000"/>
          <w:lang w:val="fr-BE"/>
        </w:rPr>
        <w:tab/>
        <w:t>ENTRÉE EN VIGUEUR</w:t>
      </w:r>
      <w:r w:rsidRPr="007F02C7">
        <w:rPr>
          <w:rFonts w:eastAsia="Times New Roman"/>
          <w:color w:val="000000"/>
          <w:lang w:val="fr-BE"/>
        </w:rPr>
        <w:tab/>
        <w:t>2</w:t>
      </w:r>
    </w:p>
    <w:p w:rsidR="0074769E" w:rsidRPr="007F02C7" w:rsidRDefault="0074769E">
      <w:pPr>
        <w:rPr>
          <w:lang w:val="fr-BE"/>
        </w:rPr>
        <w:sectPr w:rsidR="0074769E" w:rsidRPr="007F02C7">
          <w:pgSz w:w="12240" w:h="15840"/>
          <w:pgMar w:top="1860" w:right="820" w:bottom="578" w:left="960" w:header="720" w:footer="720" w:gutter="0"/>
          <w:cols w:space="720"/>
        </w:sectPr>
      </w:pPr>
    </w:p>
    <w:p w:rsidR="0074769E" w:rsidRPr="007F02C7" w:rsidRDefault="007F02C7">
      <w:pPr>
        <w:tabs>
          <w:tab w:val="left" w:pos="5256"/>
        </w:tabs>
        <w:spacing w:line="248" w:lineRule="exact"/>
        <w:textAlignment w:val="baseline"/>
        <w:rPr>
          <w:rFonts w:eastAsia="Times New Roman"/>
          <w:color w:val="000000"/>
          <w:lang w:val="fr-BE"/>
        </w:rPr>
      </w:pPr>
      <w:r w:rsidRPr="007F02C7">
        <w:rPr>
          <w:rFonts w:eastAsia="Times New Roman"/>
          <w:color w:val="000000"/>
          <w:lang w:val="fr-BE"/>
        </w:rPr>
        <w:lastRenderedPageBreak/>
        <w:t>Registration</w:t>
      </w:r>
      <w:r w:rsidRPr="007F02C7">
        <w:rPr>
          <w:rFonts w:eastAsia="Times New Roman"/>
          <w:color w:val="000000"/>
          <w:lang w:val="fr-BE"/>
        </w:rPr>
        <w:tab/>
        <w:t>Enregistrement</w:t>
      </w:r>
    </w:p>
    <w:p w:rsidR="0074769E" w:rsidRPr="007F02C7" w:rsidRDefault="007F02C7">
      <w:pPr>
        <w:tabs>
          <w:tab w:val="left" w:pos="5256"/>
        </w:tabs>
        <w:spacing w:after="176" w:line="248" w:lineRule="exact"/>
        <w:textAlignment w:val="baseline"/>
        <w:rPr>
          <w:rFonts w:eastAsia="Times New Roman"/>
          <w:color w:val="000000"/>
          <w:spacing w:val="2"/>
          <w:lang w:val="fr-BE"/>
        </w:rPr>
      </w:pPr>
      <w:r w:rsidRPr="007F02C7">
        <w:rPr>
          <w:rFonts w:eastAsia="Times New Roman"/>
          <w:color w:val="000000"/>
          <w:spacing w:val="2"/>
          <w:lang w:val="fr-BE"/>
        </w:rPr>
        <w:t xml:space="preserve">SOR/2004-156 </w:t>
      </w:r>
      <w:proofErr w:type="spellStart"/>
      <w:r w:rsidRPr="007F02C7">
        <w:rPr>
          <w:rFonts w:eastAsia="Times New Roman"/>
          <w:color w:val="000000"/>
          <w:spacing w:val="2"/>
          <w:lang w:val="fr-BE"/>
        </w:rPr>
        <w:t>June</w:t>
      </w:r>
      <w:proofErr w:type="spellEnd"/>
      <w:r w:rsidRPr="007F02C7">
        <w:rPr>
          <w:rFonts w:eastAsia="Times New Roman"/>
          <w:color w:val="000000"/>
          <w:spacing w:val="2"/>
          <w:lang w:val="fr-BE"/>
        </w:rPr>
        <w:t xml:space="preserve"> 21, 2004</w:t>
      </w:r>
      <w:r w:rsidRPr="007F02C7">
        <w:rPr>
          <w:rFonts w:eastAsia="Times New Roman"/>
          <w:color w:val="000000"/>
          <w:spacing w:val="2"/>
          <w:lang w:val="fr-BE"/>
        </w:rPr>
        <w:tab/>
        <w:t>DORS/2004-156 Le 21 juin 2004</w:t>
      </w:r>
    </w:p>
    <w:p w:rsidR="0074769E" w:rsidRPr="007F02C7" w:rsidRDefault="0074769E">
      <w:pPr>
        <w:spacing w:after="176" w:line="248" w:lineRule="exact"/>
        <w:rPr>
          <w:lang w:val="fr-BE"/>
        </w:rPr>
        <w:sectPr w:rsidR="0074769E" w:rsidRPr="007F02C7">
          <w:pgSz w:w="12240" w:h="15840"/>
          <w:pgMar w:top="1660" w:right="2640" w:bottom="1284" w:left="960" w:header="720" w:footer="720" w:gutter="0"/>
          <w:cols w:space="720"/>
        </w:sectPr>
      </w:pPr>
    </w:p>
    <w:p w:rsidR="0074769E" w:rsidRDefault="007F02C7">
      <w:pPr>
        <w:spacing w:before="10" w:line="240" w:lineRule="exact"/>
        <w:textAlignment w:val="baseline"/>
        <w:rPr>
          <w:rFonts w:eastAsia="Times New Roman"/>
          <w:color w:val="000000"/>
        </w:rPr>
      </w:pPr>
      <w:r>
        <w:rPr>
          <w:rFonts w:eastAsia="Times New Roman"/>
          <w:color w:val="000000"/>
        </w:rPr>
        <w:lastRenderedPageBreak/>
        <w:t>FOREIGN MISSIONS AND INTERNATIONAL ORGANIZATIONS ACT</w:t>
      </w:r>
    </w:p>
    <w:p w:rsidR="0074769E" w:rsidRDefault="007F02C7">
      <w:pPr>
        <w:spacing w:before="226" w:line="280" w:lineRule="exact"/>
        <w:jc w:val="both"/>
        <w:textAlignment w:val="baseline"/>
        <w:rPr>
          <w:rFonts w:eastAsia="Times New Roman"/>
          <w:b/>
          <w:color w:val="000000"/>
        </w:rPr>
      </w:pPr>
      <w:r>
        <w:rPr>
          <w:rFonts w:eastAsia="Times New Roman"/>
          <w:b/>
          <w:color w:val="000000"/>
        </w:rPr>
        <w:t>International Criminal Court Privileges and Immunities Order</w:t>
      </w:r>
    </w:p>
    <w:p w:rsidR="0074769E" w:rsidRPr="007F02C7" w:rsidRDefault="007F02C7">
      <w:pPr>
        <w:spacing w:before="10" w:line="240" w:lineRule="exact"/>
        <w:ind w:right="792"/>
        <w:textAlignment w:val="baseline"/>
        <w:rPr>
          <w:rFonts w:eastAsia="Times New Roman"/>
          <w:color w:val="000000"/>
          <w:spacing w:val="-12"/>
          <w:lang w:val="fr-BE"/>
        </w:rPr>
      </w:pPr>
      <w:r w:rsidRPr="007F02C7">
        <w:rPr>
          <w:lang w:val="fr-BE"/>
        </w:rPr>
        <w:br w:type="column"/>
      </w:r>
      <w:r w:rsidRPr="007F02C7">
        <w:rPr>
          <w:rFonts w:eastAsia="Times New Roman"/>
          <w:color w:val="000000"/>
          <w:spacing w:val="-12"/>
          <w:lang w:val="fr-BE"/>
        </w:rPr>
        <w:lastRenderedPageBreak/>
        <w:t>LOI SUR LES MISSIONS ÉTRANGÈRES ET LES ORGANISATIONS INTERNATIONALES</w:t>
      </w:r>
    </w:p>
    <w:p w:rsidR="0074769E" w:rsidRPr="007F02C7" w:rsidRDefault="007F02C7">
      <w:pPr>
        <w:spacing w:before="226" w:line="280" w:lineRule="exact"/>
        <w:jc w:val="both"/>
        <w:textAlignment w:val="baseline"/>
        <w:rPr>
          <w:rFonts w:eastAsia="Times New Roman"/>
          <w:b/>
          <w:color w:val="000000"/>
          <w:lang w:val="fr-BE"/>
        </w:rPr>
      </w:pPr>
      <w:r w:rsidRPr="007F02C7">
        <w:rPr>
          <w:rFonts w:eastAsia="Times New Roman"/>
          <w:b/>
          <w:color w:val="000000"/>
          <w:lang w:val="fr-BE"/>
        </w:rPr>
        <w:t>Décret sur les privilèges et immunités relatifs à la Cour pénale internationale</w:t>
      </w:r>
    </w:p>
    <w:p w:rsidR="0074769E" w:rsidRPr="007F02C7" w:rsidRDefault="0074769E">
      <w:pPr>
        <w:rPr>
          <w:lang w:val="fr-BE"/>
        </w:rPr>
        <w:sectPr w:rsidR="0074769E" w:rsidRPr="007F02C7">
          <w:type w:val="continuous"/>
          <w:pgSz w:w="12240" w:h="15840"/>
          <w:pgMar w:top="1660" w:right="955" w:bottom="1284" w:left="957" w:header="720" w:footer="720" w:gutter="0"/>
          <w:cols w:num="2" w:space="0" w:equalWidth="0">
            <w:col w:w="5045" w:space="238"/>
            <w:col w:w="5045" w:space="0"/>
          </w:cols>
        </w:sectPr>
      </w:pPr>
    </w:p>
    <w:p w:rsidR="0074769E" w:rsidRPr="007F02C7" w:rsidRDefault="007F02C7">
      <w:pPr>
        <w:tabs>
          <w:tab w:val="right" w:pos="8208"/>
        </w:tabs>
        <w:spacing w:before="218" w:after="281" w:line="256" w:lineRule="exact"/>
        <w:textAlignment w:val="baseline"/>
        <w:rPr>
          <w:rFonts w:eastAsia="Times New Roman"/>
          <w:color w:val="000000"/>
          <w:lang w:val="fr-BE"/>
        </w:rPr>
      </w:pPr>
      <w:r w:rsidRPr="007F02C7">
        <w:rPr>
          <w:rFonts w:eastAsia="Times New Roman"/>
          <w:color w:val="000000"/>
          <w:lang w:val="fr-BE"/>
        </w:rPr>
        <w:lastRenderedPageBreak/>
        <w:t xml:space="preserve">P.C. 2004-770 </w:t>
      </w:r>
      <w:proofErr w:type="spellStart"/>
      <w:r w:rsidRPr="007F02C7">
        <w:rPr>
          <w:rFonts w:eastAsia="Times New Roman"/>
          <w:color w:val="000000"/>
          <w:lang w:val="fr-BE"/>
        </w:rPr>
        <w:t>June</w:t>
      </w:r>
      <w:proofErr w:type="spellEnd"/>
      <w:r w:rsidRPr="007F02C7">
        <w:rPr>
          <w:rFonts w:eastAsia="Times New Roman"/>
          <w:color w:val="000000"/>
          <w:lang w:val="fr-BE"/>
        </w:rPr>
        <w:t xml:space="preserve"> 21, 2004</w:t>
      </w:r>
      <w:r w:rsidRPr="007F02C7">
        <w:rPr>
          <w:rFonts w:eastAsia="Times New Roman"/>
          <w:color w:val="000000"/>
          <w:lang w:val="fr-BE"/>
        </w:rPr>
        <w:tab/>
        <w:t>C.P. 2004-770 Le 21 juin 2004</w:t>
      </w:r>
    </w:p>
    <w:p w:rsidR="0074769E" w:rsidRPr="007F02C7" w:rsidRDefault="0074769E">
      <w:pPr>
        <w:spacing w:before="218" w:after="281" w:line="256" w:lineRule="exact"/>
        <w:rPr>
          <w:lang w:val="fr-BE"/>
        </w:rPr>
        <w:sectPr w:rsidR="0074769E" w:rsidRPr="007F02C7">
          <w:type w:val="continuous"/>
          <w:pgSz w:w="12240" w:h="15840"/>
          <w:pgMar w:top="1660" w:right="3100" w:bottom="1284" w:left="960" w:header="720" w:footer="720" w:gutter="0"/>
          <w:cols w:space="720"/>
        </w:sectPr>
      </w:pPr>
    </w:p>
    <w:p w:rsidR="0074769E" w:rsidRDefault="007F02C7">
      <w:pPr>
        <w:spacing w:line="276" w:lineRule="exact"/>
        <w:ind w:firstLine="216"/>
        <w:jc w:val="both"/>
        <w:textAlignment w:val="baseline"/>
        <w:rPr>
          <w:rFonts w:eastAsia="Times New Roman"/>
          <w:color w:val="000000"/>
          <w:spacing w:val="-1"/>
        </w:rPr>
      </w:pPr>
      <w:r>
        <w:rPr>
          <w:rFonts w:eastAsia="Times New Roman"/>
          <w:color w:val="000000"/>
          <w:spacing w:val="-1"/>
        </w:rPr>
        <w:lastRenderedPageBreak/>
        <w:t xml:space="preserve">Her Excellency the Governor General in Council, on the recommendation of the Minister of Foreign Affairs and the Minister of Finance, pursuant to subsections 5(1) </w:t>
      </w:r>
      <w:r>
        <w:rPr>
          <w:rFonts w:eastAsia="Times New Roman"/>
          <w:color w:val="000000"/>
          <w:spacing w:val="-1"/>
          <w:sz w:val="11"/>
          <w:vertAlign w:val="superscript"/>
        </w:rPr>
        <w:t>a</w:t>
      </w:r>
      <w:r>
        <w:rPr>
          <w:rFonts w:eastAsia="Times New Roman"/>
          <w:color w:val="000000"/>
          <w:spacing w:val="-1"/>
        </w:rPr>
        <w:t xml:space="preserve"> and (2) </w:t>
      </w:r>
      <w:r>
        <w:rPr>
          <w:rFonts w:eastAsia="Times New Roman"/>
          <w:color w:val="000000"/>
          <w:spacing w:val="-1"/>
          <w:vertAlign w:val="superscript"/>
        </w:rPr>
        <w:t>b</w:t>
      </w:r>
      <w:r>
        <w:rPr>
          <w:rFonts w:eastAsia="Times New Roman"/>
          <w:color w:val="000000"/>
          <w:spacing w:val="-1"/>
        </w:rPr>
        <w:t xml:space="preserve"> of the </w:t>
      </w:r>
      <w:r>
        <w:rPr>
          <w:rFonts w:eastAsia="Times New Roman"/>
          <w:i/>
          <w:color w:val="000000"/>
          <w:spacing w:val="-1"/>
        </w:rPr>
        <w:t>Foreign Missions and International Or</w:t>
      </w:r>
      <w:r>
        <w:rPr>
          <w:rFonts w:eastAsia="Times New Roman"/>
          <w:i/>
          <w:color w:val="000000"/>
          <w:spacing w:val="-1"/>
        </w:rPr>
        <w:softHyphen/>
        <w:t xml:space="preserve">ganizations </w:t>
      </w:r>
      <w:proofErr w:type="spellStart"/>
      <w:r>
        <w:rPr>
          <w:rFonts w:eastAsia="Times New Roman"/>
          <w:i/>
          <w:color w:val="000000"/>
          <w:spacing w:val="-1"/>
        </w:rPr>
        <w:t>Act</w:t>
      </w:r>
      <w:r>
        <w:rPr>
          <w:rFonts w:eastAsia="Times New Roman"/>
          <w:color w:val="000000"/>
          <w:spacing w:val="-1"/>
          <w:vertAlign w:val="superscript"/>
        </w:rPr>
        <w:t>c</w:t>
      </w:r>
      <w:proofErr w:type="spellEnd"/>
      <w:r>
        <w:rPr>
          <w:rFonts w:eastAsia="Times New Roman"/>
          <w:color w:val="000000"/>
          <w:spacing w:val="-1"/>
        </w:rPr>
        <w:t xml:space="preserve">, hereby makes the annexed </w:t>
      </w:r>
      <w:r>
        <w:rPr>
          <w:rFonts w:eastAsia="Times New Roman"/>
          <w:i/>
          <w:color w:val="000000"/>
          <w:spacing w:val="-1"/>
        </w:rPr>
        <w:t>Internation</w:t>
      </w:r>
      <w:r>
        <w:rPr>
          <w:rFonts w:eastAsia="Times New Roman"/>
          <w:i/>
          <w:color w:val="000000"/>
          <w:spacing w:val="-1"/>
        </w:rPr>
        <w:softHyphen/>
        <w:t>al Criminal Court Privileges and Immunities Order</w:t>
      </w:r>
      <w:r>
        <w:rPr>
          <w:rFonts w:eastAsia="Times New Roman"/>
          <w:color w:val="000000"/>
          <w:spacing w:val="-1"/>
        </w:rPr>
        <w:t>.</w:t>
      </w:r>
    </w:p>
    <w:p w:rsidR="0074769E" w:rsidRPr="007F02C7" w:rsidRDefault="007F02C7">
      <w:pPr>
        <w:spacing w:line="274" w:lineRule="exact"/>
        <w:ind w:firstLine="216"/>
        <w:jc w:val="both"/>
        <w:textAlignment w:val="baseline"/>
        <w:rPr>
          <w:rFonts w:eastAsia="Times New Roman"/>
          <w:color w:val="000000"/>
          <w:lang w:val="fr-BE"/>
        </w:rPr>
      </w:pPr>
      <w:r w:rsidRPr="007F02C7">
        <w:rPr>
          <w:lang w:val="fr-BE"/>
        </w:rPr>
        <w:br w:type="column"/>
      </w:r>
      <w:r w:rsidRPr="007F02C7">
        <w:rPr>
          <w:rFonts w:eastAsia="Times New Roman"/>
          <w:color w:val="000000"/>
          <w:lang w:val="fr-BE"/>
        </w:rPr>
        <w:lastRenderedPageBreak/>
        <w:t xml:space="preserve">Sur recommandation du ministre des Affaires </w:t>
      </w:r>
      <w:proofErr w:type="spellStart"/>
      <w:r w:rsidRPr="007F02C7">
        <w:rPr>
          <w:rFonts w:eastAsia="Times New Roman"/>
          <w:color w:val="000000"/>
          <w:lang w:val="fr-BE"/>
        </w:rPr>
        <w:t>étran-gères</w:t>
      </w:r>
      <w:proofErr w:type="spellEnd"/>
      <w:r w:rsidRPr="007F02C7">
        <w:rPr>
          <w:rFonts w:eastAsia="Times New Roman"/>
          <w:color w:val="000000"/>
          <w:lang w:val="fr-BE"/>
        </w:rPr>
        <w:t xml:space="preserve"> et du ministre des Finances et en vertu des </w:t>
      </w:r>
      <w:proofErr w:type="spellStart"/>
      <w:r w:rsidRPr="007F02C7">
        <w:rPr>
          <w:rFonts w:eastAsia="Times New Roman"/>
          <w:color w:val="000000"/>
          <w:lang w:val="fr-BE"/>
        </w:rPr>
        <w:t>para-graphes</w:t>
      </w:r>
      <w:proofErr w:type="spellEnd"/>
      <w:r w:rsidRPr="007F02C7">
        <w:rPr>
          <w:rFonts w:eastAsia="Times New Roman"/>
          <w:color w:val="000000"/>
          <w:lang w:val="fr-BE"/>
        </w:rPr>
        <w:t xml:space="preserve"> 5(1) </w:t>
      </w:r>
      <w:r w:rsidRPr="007F02C7">
        <w:rPr>
          <w:rFonts w:eastAsia="Times New Roman"/>
          <w:color w:val="000000"/>
          <w:vertAlign w:val="superscript"/>
          <w:lang w:val="fr-BE"/>
        </w:rPr>
        <w:t>a</w:t>
      </w:r>
      <w:r w:rsidRPr="007F02C7">
        <w:rPr>
          <w:rFonts w:eastAsia="Times New Roman"/>
          <w:color w:val="000000"/>
          <w:lang w:val="fr-BE"/>
        </w:rPr>
        <w:t xml:space="preserve"> et (2) </w:t>
      </w:r>
      <w:r w:rsidRPr="007F02C7">
        <w:rPr>
          <w:rFonts w:eastAsia="Times New Roman"/>
          <w:color w:val="000000"/>
          <w:vertAlign w:val="superscript"/>
          <w:lang w:val="fr-BE"/>
        </w:rPr>
        <w:t>b</w:t>
      </w:r>
      <w:r w:rsidRPr="007F02C7">
        <w:rPr>
          <w:rFonts w:eastAsia="Times New Roman"/>
          <w:color w:val="000000"/>
          <w:lang w:val="fr-BE"/>
        </w:rPr>
        <w:t xml:space="preserve"> de la </w:t>
      </w:r>
      <w:r w:rsidRPr="007F02C7">
        <w:rPr>
          <w:rFonts w:eastAsia="Times New Roman"/>
          <w:i/>
          <w:color w:val="000000"/>
          <w:lang w:val="fr-BE"/>
        </w:rPr>
        <w:t xml:space="preserve">Loi sur les missions </w:t>
      </w:r>
      <w:proofErr w:type="spellStart"/>
      <w:r w:rsidRPr="007F02C7">
        <w:rPr>
          <w:rFonts w:eastAsia="Times New Roman"/>
          <w:i/>
          <w:color w:val="000000"/>
          <w:lang w:val="fr-BE"/>
        </w:rPr>
        <w:t>étran-gères</w:t>
      </w:r>
      <w:proofErr w:type="spellEnd"/>
      <w:r w:rsidRPr="007F02C7">
        <w:rPr>
          <w:rFonts w:eastAsia="Times New Roman"/>
          <w:i/>
          <w:color w:val="000000"/>
          <w:lang w:val="fr-BE"/>
        </w:rPr>
        <w:t xml:space="preserve"> et les organisations </w:t>
      </w:r>
      <w:proofErr w:type="spellStart"/>
      <w:r w:rsidRPr="007F02C7">
        <w:rPr>
          <w:rFonts w:eastAsia="Times New Roman"/>
          <w:i/>
          <w:color w:val="000000"/>
          <w:lang w:val="fr-BE"/>
        </w:rPr>
        <w:t>internationales</w:t>
      </w:r>
      <w:r w:rsidRPr="007F02C7">
        <w:rPr>
          <w:rFonts w:eastAsia="Times New Roman"/>
          <w:color w:val="000000"/>
          <w:vertAlign w:val="superscript"/>
          <w:lang w:val="fr-BE"/>
        </w:rPr>
        <w:t>c</w:t>
      </w:r>
      <w:proofErr w:type="spellEnd"/>
      <w:r w:rsidRPr="007F02C7">
        <w:rPr>
          <w:rFonts w:eastAsia="Times New Roman"/>
          <w:color w:val="000000"/>
          <w:lang w:val="fr-BE"/>
        </w:rPr>
        <w:t xml:space="preserve">, Son Excellence la Gouverneure générale en conseil prend le </w:t>
      </w:r>
      <w:r w:rsidRPr="007F02C7">
        <w:rPr>
          <w:rFonts w:eastAsia="Times New Roman"/>
          <w:i/>
          <w:color w:val="000000"/>
          <w:lang w:val="fr-BE"/>
        </w:rPr>
        <w:t>Décret sur les privilèges et immunités relatifs à la Cour pénale internationale</w:t>
      </w:r>
      <w:r w:rsidRPr="007F02C7">
        <w:rPr>
          <w:rFonts w:eastAsia="Times New Roman"/>
          <w:color w:val="000000"/>
          <w:lang w:val="fr-BE"/>
        </w:rPr>
        <w:t>, ci-après.</w:t>
      </w:r>
    </w:p>
    <w:p w:rsidR="0074769E" w:rsidRPr="007F02C7" w:rsidRDefault="0074769E">
      <w:pPr>
        <w:rPr>
          <w:lang w:val="fr-BE"/>
        </w:rPr>
        <w:sectPr w:rsidR="0074769E" w:rsidRPr="007F02C7">
          <w:type w:val="continuous"/>
          <w:pgSz w:w="12240" w:h="15840"/>
          <w:pgMar w:top="1660" w:right="950" w:bottom="1284" w:left="938" w:header="720" w:footer="720" w:gutter="0"/>
          <w:cols w:num="2" w:space="0" w:equalWidth="0">
            <w:col w:w="5079" w:space="194"/>
            <w:col w:w="5079" w:space="0"/>
          </w:cols>
        </w:sectPr>
      </w:pPr>
    </w:p>
    <w:p w:rsidR="0074769E" w:rsidRPr="007F02C7" w:rsidRDefault="000679B7">
      <w:pPr>
        <w:spacing w:before="6780" w:line="288" w:lineRule="exact"/>
        <w:textAlignment w:val="baseline"/>
        <w:rPr>
          <w:rFonts w:eastAsia="Times New Roman"/>
          <w:color w:val="000000"/>
          <w:sz w:val="24"/>
          <w:lang w:val="fr-BE"/>
        </w:rPr>
      </w:pPr>
      <w:r>
        <w:lastRenderedPageBreak/>
        <w:pict>
          <v:line id="_x0000_s1031" style="position:absolute;z-index:251653632;mso-position-horizontal-relative:text;mso-position-vertical-relative:text" from="1.1pt,349.7pt" to="49.4pt,349.7pt" strokeweight=".25pt"/>
        </w:pict>
      </w:r>
      <w:r>
        <w:pict>
          <v:line id="_x0000_s1030" style="position:absolute;z-index:251654656;mso-position-horizontal-relative:text;mso-position-vertical-relative:text" from="265.1pt,349.7pt" to="313.4pt,349.7pt" strokeweight=".25pt"/>
        </w:pict>
      </w:r>
    </w:p>
    <w:p w:rsidR="0074769E" w:rsidRPr="007F02C7" w:rsidRDefault="0074769E">
      <w:pPr>
        <w:rPr>
          <w:lang w:val="fr-BE"/>
        </w:rPr>
        <w:sectPr w:rsidR="0074769E" w:rsidRPr="007F02C7">
          <w:type w:val="continuous"/>
          <w:pgSz w:w="12240" w:h="15840"/>
          <w:pgMar w:top="1660" w:right="950" w:bottom="1284" w:left="938" w:header="720" w:footer="720" w:gutter="0"/>
          <w:cols w:space="720"/>
        </w:sectPr>
      </w:pPr>
    </w:p>
    <w:p w:rsidR="0074769E" w:rsidRDefault="007F02C7">
      <w:pPr>
        <w:tabs>
          <w:tab w:val="left" w:pos="5400"/>
        </w:tabs>
        <w:spacing w:before="4" w:line="59" w:lineRule="exact"/>
        <w:textAlignment w:val="baseline"/>
        <w:rPr>
          <w:rFonts w:eastAsia="Times New Roman"/>
          <w:color w:val="000000"/>
          <w:sz w:val="11"/>
        </w:rPr>
      </w:pPr>
      <w:proofErr w:type="spellStart"/>
      <w:proofErr w:type="gramStart"/>
      <w:r>
        <w:rPr>
          <w:rFonts w:eastAsia="Times New Roman"/>
          <w:color w:val="000000"/>
          <w:sz w:val="11"/>
        </w:rPr>
        <w:lastRenderedPageBreak/>
        <w:t>a</w:t>
      </w:r>
      <w:proofErr w:type="spellEnd"/>
      <w:proofErr w:type="gramEnd"/>
      <w:r>
        <w:rPr>
          <w:rFonts w:eastAsia="Times New Roman"/>
          <w:color w:val="000000"/>
          <w:sz w:val="11"/>
        </w:rPr>
        <w:tab/>
      </w:r>
      <w:proofErr w:type="spellStart"/>
      <w:r>
        <w:rPr>
          <w:rFonts w:eastAsia="Times New Roman"/>
          <w:color w:val="000000"/>
          <w:sz w:val="11"/>
        </w:rPr>
        <w:t>a</w:t>
      </w:r>
      <w:proofErr w:type="spellEnd"/>
    </w:p>
    <w:p w:rsidR="0074769E" w:rsidRDefault="007F02C7">
      <w:pPr>
        <w:tabs>
          <w:tab w:val="left" w:pos="5472"/>
        </w:tabs>
        <w:spacing w:line="190" w:lineRule="exact"/>
        <w:ind w:left="72"/>
        <w:textAlignment w:val="baseline"/>
        <w:rPr>
          <w:rFonts w:eastAsia="Times New Roman"/>
          <w:color w:val="000000"/>
          <w:spacing w:val="-5"/>
        </w:rPr>
      </w:pPr>
      <w:proofErr w:type="gramStart"/>
      <w:r>
        <w:rPr>
          <w:rFonts w:eastAsia="Times New Roman"/>
          <w:color w:val="000000"/>
          <w:spacing w:val="-5"/>
        </w:rPr>
        <w:t>S.C. 2002, c.12, s.3</w:t>
      </w:r>
      <w:r>
        <w:rPr>
          <w:rFonts w:eastAsia="Times New Roman"/>
          <w:color w:val="000000"/>
          <w:spacing w:val="-5"/>
        </w:rPr>
        <w:tab/>
        <w:t xml:space="preserve">L.C. 2002, </w:t>
      </w:r>
      <w:proofErr w:type="spellStart"/>
      <w:r>
        <w:rPr>
          <w:rFonts w:eastAsia="Times New Roman"/>
          <w:color w:val="000000"/>
          <w:spacing w:val="-5"/>
        </w:rPr>
        <w:t>ch.</w:t>
      </w:r>
      <w:proofErr w:type="spellEnd"/>
      <w:r>
        <w:rPr>
          <w:rFonts w:eastAsia="Times New Roman"/>
          <w:color w:val="000000"/>
          <w:spacing w:val="-5"/>
        </w:rPr>
        <w:t xml:space="preserve"> 12, art.</w:t>
      </w:r>
      <w:proofErr w:type="gramEnd"/>
      <w:r>
        <w:rPr>
          <w:rFonts w:eastAsia="Times New Roman"/>
          <w:color w:val="000000"/>
          <w:spacing w:val="-5"/>
        </w:rPr>
        <w:t xml:space="preserve"> 3</w:t>
      </w:r>
    </w:p>
    <w:p w:rsidR="0074769E" w:rsidRDefault="007F02C7">
      <w:pPr>
        <w:tabs>
          <w:tab w:val="left" w:pos="5400"/>
        </w:tabs>
        <w:spacing w:before="15" w:line="58" w:lineRule="exact"/>
        <w:textAlignment w:val="baseline"/>
        <w:rPr>
          <w:rFonts w:eastAsia="Times New Roman"/>
          <w:color w:val="000000"/>
          <w:sz w:val="11"/>
        </w:rPr>
      </w:pPr>
      <w:proofErr w:type="gramStart"/>
      <w:r>
        <w:rPr>
          <w:rFonts w:eastAsia="Times New Roman"/>
          <w:color w:val="000000"/>
          <w:sz w:val="11"/>
        </w:rPr>
        <w:t>b</w:t>
      </w:r>
      <w:proofErr w:type="gramEnd"/>
      <w:r>
        <w:rPr>
          <w:rFonts w:eastAsia="Times New Roman"/>
          <w:color w:val="000000"/>
          <w:sz w:val="11"/>
        </w:rPr>
        <w:tab/>
      </w:r>
      <w:proofErr w:type="spellStart"/>
      <w:r>
        <w:rPr>
          <w:rFonts w:eastAsia="Times New Roman"/>
          <w:color w:val="000000"/>
          <w:sz w:val="11"/>
        </w:rPr>
        <w:t>b</w:t>
      </w:r>
      <w:proofErr w:type="spellEnd"/>
    </w:p>
    <w:p w:rsidR="0074769E" w:rsidRDefault="007F02C7">
      <w:pPr>
        <w:tabs>
          <w:tab w:val="left" w:pos="5472"/>
        </w:tabs>
        <w:spacing w:line="196" w:lineRule="exact"/>
        <w:ind w:left="72"/>
        <w:textAlignment w:val="baseline"/>
        <w:rPr>
          <w:rFonts w:eastAsia="Times New Roman"/>
          <w:color w:val="000000"/>
          <w:spacing w:val="-6"/>
        </w:rPr>
      </w:pPr>
      <w:r>
        <w:rPr>
          <w:rFonts w:eastAsia="Times New Roman"/>
          <w:color w:val="000000"/>
          <w:spacing w:val="-6"/>
        </w:rPr>
        <w:t>S.C. 1995, c.5, par. 25(1</w:t>
      </w:r>
      <w:proofErr w:type="gramStart"/>
      <w:r>
        <w:rPr>
          <w:rFonts w:eastAsia="Times New Roman"/>
          <w:color w:val="000000"/>
          <w:spacing w:val="-6"/>
        </w:rPr>
        <w:t>)(</w:t>
      </w:r>
      <w:proofErr w:type="gramEnd"/>
      <w:r>
        <w:rPr>
          <w:rFonts w:eastAsia="Times New Roman"/>
          <w:i/>
          <w:color w:val="000000"/>
          <w:spacing w:val="-6"/>
        </w:rPr>
        <w:t>n</w:t>
      </w:r>
      <w:r>
        <w:rPr>
          <w:rFonts w:eastAsia="Times New Roman"/>
          <w:color w:val="000000"/>
          <w:spacing w:val="-6"/>
        </w:rPr>
        <w:t>)</w:t>
      </w:r>
      <w:r>
        <w:rPr>
          <w:rFonts w:eastAsia="Times New Roman"/>
          <w:color w:val="000000"/>
          <w:spacing w:val="-6"/>
        </w:rPr>
        <w:tab/>
        <w:t xml:space="preserve">L.C. 1995, </w:t>
      </w:r>
      <w:proofErr w:type="spellStart"/>
      <w:r>
        <w:rPr>
          <w:rFonts w:eastAsia="Times New Roman"/>
          <w:color w:val="000000"/>
          <w:spacing w:val="-6"/>
        </w:rPr>
        <w:t>ch.</w:t>
      </w:r>
      <w:proofErr w:type="spellEnd"/>
      <w:r>
        <w:rPr>
          <w:rFonts w:eastAsia="Times New Roman"/>
          <w:color w:val="000000"/>
          <w:spacing w:val="-6"/>
        </w:rPr>
        <w:t xml:space="preserve"> 5, al. 25(1)</w:t>
      </w:r>
      <w:r>
        <w:rPr>
          <w:rFonts w:eastAsia="Times New Roman"/>
          <w:i/>
          <w:color w:val="000000"/>
          <w:spacing w:val="-6"/>
        </w:rPr>
        <w:t>n</w:t>
      </w:r>
      <w:r>
        <w:rPr>
          <w:rFonts w:eastAsia="Times New Roman"/>
          <w:color w:val="000000"/>
          <w:spacing w:val="-6"/>
        </w:rPr>
        <w:t>)</w:t>
      </w:r>
    </w:p>
    <w:p w:rsidR="0074769E" w:rsidRPr="007F02C7" w:rsidRDefault="007F02C7">
      <w:pPr>
        <w:tabs>
          <w:tab w:val="left" w:pos="5400"/>
        </w:tabs>
        <w:spacing w:before="5" w:line="58" w:lineRule="exact"/>
        <w:textAlignment w:val="baseline"/>
        <w:rPr>
          <w:rFonts w:eastAsia="Times New Roman"/>
          <w:color w:val="000000"/>
          <w:spacing w:val="-1"/>
          <w:sz w:val="11"/>
          <w:lang w:val="fr-BE"/>
        </w:rPr>
      </w:pPr>
      <w:proofErr w:type="gramStart"/>
      <w:r w:rsidRPr="007F02C7">
        <w:rPr>
          <w:rFonts w:eastAsia="Times New Roman"/>
          <w:color w:val="000000"/>
          <w:spacing w:val="-1"/>
          <w:sz w:val="11"/>
          <w:lang w:val="fr-BE"/>
        </w:rPr>
        <w:t>c</w:t>
      </w:r>
      <w:proofErr w:type="gramEnd"/>
      <w:r w:rsidRPr="007F02C7">
        <w:rPr>
          <w:rFonts w:eastAsia="Times New Roman"/>
          <w:color w:val="000000"/>
          <w:spacing w:val="-1"/>
          <w:sz w:val="11"/>
          <w:lang w:val="fr-BE"/>
        </w:rPr>
        <w:tab/>
      </w:r>
      <w:proofErr w:type="spellStart"/>
      <w:r w:rsidRPr="007F02C7">
        <w:rPr>
          <w:rFonts w:eastAsia="Times New Roman"/>
          <w:color w:val="000000"/>
          <w:spacing w:val="-1"/>
          <w:sz w:val="11"/>
          <w:lang w:val="fr-BE"/>
        </w:rPr>
        <w:t>c</w:t>
      </w:r>
      <w:proofErr w:type="spellEnd"/>
    </w:p>
    <w:p w:rsidR="0074769E" w:rsidRPr="007F02C7" w:rsidRDefault="007F02C7">
      <w:pPr>
        <w:tabs>
          <w:tab w:val="left" w:pos="5472"/>
        </w:tabs>
        <w:spacing w:line="191" w:lineRule="exact"/>
        <w:ind w:left="72"/>
        <w:textAlignment w:val="baseline"/>
        <w:rPr>
          <w:rFonts w:eastAsia="Times New Roman"/>
          <w:color w:val="000000"/>
          <w:spacing w:val="-6"/>
          <w:lang w:val="fr-BE"/>
        </w:rPr>
      </w:pPr>
      <w:r w:rsidRPr="007F02C7">
        <w:rPr>
          <w:rFonts w:eastAsia="Times New Roman"/>
          <w:color w:val="000000"/>
          <w:spacing w:val="-6"/>
          <w:lang w:val="fr-BE"/>
        </w:rPr>
        <w:t>S.C. 1991, c.41</w:t>
      </w:r>
      <w:r w:rsidRPr="007F02C7">
        <w:rPr>
          <w:rFonts w:eastAsia="Times New Roman"/>
          <w:color w:val="000000"/>
          <w:spacing w:val="-6"/>
          <w:lang w:val="fr-BE"/>
        </w:rPr>
        <w:tab/>
        <w:t>L.C. 1991, ch. 41</w:t>
      </w:r>
    </w:p>
    <w:p w:rsidR="0074769E" w:rsidRPr="007F02C7" w:rsidRDefault="0074769E">
      <w:pPr>
        <w:rPr>
          <w:lang w:val="fr-BE"/>
        </w:rPr>
        <w:sectPr w:rsidR="0074769E" w:rsidRPr="007F02C7">
          <w:type w:val="continuous"/>
          <w:pgSz w:w="12240" w:h="15840"/>
          <w:pgMar w:top="1660" w:right="3505" w:bottom="1284" w:left="955" w:header="720" w:footer="720" w:gutter="0"/>
          <w:cols w:space="720"/>
        </w:sectPr>
      </w:pPr>
    </w:p>
    <w:p w:rsidR="0074769E" w:rsidRPr="007F02C7" w:rsidRDefault="000679B7">
      <w:pPr>
        <w:tabs>
          <w:tab w:val="left" w:pos="5904"/>
        </w:tabs>
        <w:spacing w:before="221" w:after="121" w:line="259" w:lineRule="exact"/>
        <w:ind w:left="432"/>
        <w:textAlignment w:val="baseline"/>
        <w:rPr>
          <w:rFonts w:eastAsia="Times New Roman"/>
          <w:color w:val="000000"/>
          <w:lang w:val="fr-BE"/>
        </w:rPr>
      </w:pPr>
      <w:r>
        <w:lastRenderedPageBreak/>
        <w:pict>
          <v:shape id="_x0000_s1029" type="#_x0000_t202" style="position:absolute;left:0;text-align:left;margin-left:48.25pt;margin-top:84.3pt;width:251.75pt;height:26.55pt;z-index:-251657728;mso-wrap-distance-left:0;mso-wrap-distance-right:0;mso-position-horizontal-relative:page;mso-position-vertical-relative:page" filled="f" stroked="f">
            <v:textbox inset="0,0,0,0">
              <w:txbxContent>
                <w:p w:rsidR="0074769E" w:rsidRDefault="007F02C7">
                  <w:pPr>
                    <w:tabs>
                      <w:tab w:val="left" w:pos="2448"/>
                      <w:tab w:val="right" w:pos="5040"/>
                    </w:tabs>
                    <w:spacing w:line="253" w:lineRule="exact"/>
                    <w:textAlignment w:val="baseline"/>
                    <w:rPr>
                      <w:rFonts w:eastAsia="Times New Roman"/>
                      <w:color w:val="000000"/>
                    </w:rPr>
                  </w:pPr>
                  <w:r>
                    <w:rPr>
                      <w:rFonts w:eastAsia="Times New Roman"/>
                      <w:color w:val="000000"/>
                    </w:rPr>
                    <w:t>INTERNATIONAL</w:t>
                  </w:r>
                  <w:r>
                    <w:rPr>
                      <w:rFonts w:eastAsia="Times New Roman"/>
                      <w:color w:val="000000"/>
                    </w:rPr>
                    <w:tab/>
                    <w:t>CRIMINAL</w:t>
                  </w:r>
                  <w:r>
                    <w:rPr>
                      <w:rFonts w:eastAsia="Times New Roman"/>
                      <w:color w:val="000000"/>
                    </w:rPr>
                    <w:tab/>
                    <w:t>COURT</w:t>
                  </w:r>
                </w:p>
                <w:p w:rsidR="0074769E" w:rsidRDefault="007F02C7">
                  <w:pPr>
                    <w:spacing w:before="19" w:line="245" w:lineRule="exact"/>
                    <w:jc w:val="center"/>
                    <w:textAlignment w:val="baseline"/>
                    <w:rPr>
                      <w:rFonts w:eastAsia="Times New Roman"/>
                      <w:color w:val="000000"/>
                    </w:rPr>
                  </w:pPr>
                  <w:r>
                    <w:rPr>
                      <w:rFonts w:eastAsia="Times New Roman"/>
                      <w:color w:val="000000"/>
                    </w:rPr>
                    <w:t>PRIVILEGES AND IMMUNITIES ORDER</w:t>
                  </w:r>
                </w:p>
              </w:txbxContent>
            </v:textbox>
            <w10:wrap type="square" anchorx="page" anchory="page"/>
          </v:shape>
        </w:pict>
      </w:r>
      <w:r>
        <w:pict>
          <v:shape id="_x0000_s1028" type="#_x0000_t202" style="position:absolute;left:0;text-align:left;margin-left:312pt;margin-top:84.25pt;width:252pt;height:40.5pt;z-index:-251656704;mso-wrap-distance-left:0;mso-wrap-distance-right:0;mso-position-horizontal-relative:page;mso-position-vertical-relative:page" filled="f" stroked="f">
            <v:textbox inset="0,0,0,0">
              <w:txbxContent>
                <w:p w:rsidR="0074769E" w:rsidRPr="007F02C7" w:rsidRDefault="007F02C7">
                  <w:pPr>
                    <w:spacing w:line="268" w:lineRule="exact"/>
                    <w:ind w:left="432" w:hanging="432"/>
                    <w:jc w:val="both"/>
                    <w:textAlignment w:val="baseline"/>
                    <w:rPr>
                      <w:rFonts w:eastAsia="Times New Roman"/>
                      <w:color w:val="000000"/>
                      <w:lang w:val="fr-BE"/>
                    </w:rPr>
                  </w:pPr>
                  <w:r w:rsidRPr="007F02C7">
                    <w:rPr>
                      <w:rFonts w:eastAsia="Times New Roman"/>
                      <w:color w:val="000000"/>
                      <w:lang w:val="fr-BE"/>
                    </w:rPr>
                    <w:t>DÉCRET SUR LES PRIVILÈGES ET IMMUNITÉS RELATIFS À LA COUR PÉNALE INTERNATIONALE</w:t>
                  </w:r>
                </w:p>
              </w:txbxContent>
            </v:textbox>
            <w10:wrap type="square" anchorx="page" anchory="page"/>
          </v:shape>
        </w:pict>
      </w:r>
      <w:r w:rsidR="007F02C7" w:rsidRPr="007F02C7">
        <w:rPr>
          <w:rFonts w:eastAsia="Times New Roman"/>
          <w:color w:val="000000"/>
          <w:lang w:val="fr-BE"/>
        </w:rPr>
        <w:t>INTERPRETATION</w:t>
      </w:r>
      <w:r w:rsidR="007F02C7" w:rsidRPr="007F02C7">
        <w:rPr>
          <w:rFonts w:eastAsia="Times New Roman"/>
          <w:color w:val="000000"/>
          <w:lang w:val="fr-BE"/>
        </w:rPr>
        <w:tab/>
        <w:t>DÉFINITIONS</w:t>
      </w:r>
    </w:p>
    <w:p w:rsidR="0074769E" w:rsidRPr="007F02C7" w:rsidRDefault="0074769E">
      <w:pPr>
        <w:spacing w:before="221" w:after="121" w:line="259" w:lineRule="exact"/>
        <w:rPr>
          <w:lang w:val="fr-BE"/>
        </w:rPr>
        <w:sectPr w:rsidR="0074769E" w:rsidRPr="007F02C7">
          <w:pgSz w:w="12240" w:h="15840"/>
          <w:pgMar w:top="2495" w:right="2357" w:bottom="1563" w:left="2103" w:header="720" w:footer="720" w:gutter="0"/>
          <w:cols w:space="720"/>
        </w:sectPr>
      </w:pPr>
    </w:p>
    <w:p w:rsidR="0074769E" w:rsidRDefault="007F02C7">
      <w:pPr>
        <w:spacing w:line="253" w:lineRule="exact"/>
        <w:ind w:left="216"/>
        <w:textAlignment w:val="baseline"/>
        <w:rPr>
          <w:rFonts w:eastAsia="Times New Roman"/>
          <w:b/>
          <w:color w:val="000000"/>
        </w:rPr>
      </w:pPr>
      <w:r>
        <w:rPr>
          <w:rFonts w:eastAsia="Times New Roman"/>
          <w:b/>
          <w:color w:val="000000"/>
        </w:rPr>
        <w:lastRenderedPageBreak/>
        <w:t xml:space="preserve">1. </w:t>
      </w:r>
      <w:r>
        <w:rPr>
          <w:rFonts w:eastAsia="Times New Roman"/>
          <w:color w:val="000000"/>
        </w:rPr>
        <w:t>The following definitions apply in this Order.</w:t>
      </w:r>
    </w:p>
    <w:p w:rsidR="0074769E" w:rsidRDefault="007F02C7">
      <w:pPr>
        <w:spacing w:before="95" w:line="282" w:lineRule="exact"/>
        <w:jc w:val="both"/>
        <w:textAlignment w:val="baseline"/>
        <w:rPr>
          <w:rFonts w:eastAsia="Times New Roman"/>
          <w:color w:val="000000"/>
          <w:spacing w:val="2"/>
        </w:rPr>
      </w:pPr>
      <w:r>
        <w:rPr>
          <w:rFonts w:eastAsia="Times New Roman"/>
          <w:color w:val="000000"/>
          <w:spacing w:val="2"/>
        </w:rPr>
        <w:t>“Agreement” means the Agreement on the Privileges and Immunities of the International Criminal Court adopted under the Rome Statute by the Assembly. (</w:t>
      </w:r>
      <w:r>
        <w:rPr>
          <w:rFonts w:eastAsia="Times New Roman"/>
          <w:i/>
          <w:color w:val="000000"/>
          <w:spacing w:val="2"/>
        </w:rPr>
        <w:t>Ac</w:t>
      </w:r>
      <w:r>
        <w:rPr>
          <w:rFonts w:eastAsia="Times New Roman"/>
          <w:i/>
          <w:color w:val="000000"/>
          <w:spacing w:val="2"/>
        </w:rPr>
        <w:softHyphen/>
        <w:t>cord</w:t>
      </w:r>
      <w:r>
        <w:rPr>
          <w:rFonts w:eastAsia="Times New Roman"/>
          <w:color w:val="000000"/>
          <w:spacing w:val="2"/>
        </w:rPr>
        <w:t>)</w:t>
      </w:r>
    </w:p>
    <w:p w:rsidR="0074769E" w:rsidRDefault="007F02C7">
      <w:pPr>
        <w:spacing w:before="94" w:line="282" w:lineRule="exact"/>
        <w:jc w:val="both"/>
        <w:textAlignment w:val="baseline"/>
        <w:rPr>
          <w:rFonts w:eastAsia="Times New Roman"/>
          <w:color w:val="000000"/>
        </w:rPr>
      </w:pPr>
      <w:r>
        <w:rPr>
          <w:rFonts w:eastAsia="Times New Roman"/>
          <w:color w:val="000000"/>
        </w:rPr>
        <w:t>“Assembly” means the Assembly of States Parties estab</w:t>
      </w:r>
      <w:r>
        <w:rPr>
          <w:rFonts w:eastAsia="Times New Roman"/>
          <w:color w:val="000000"/>
        </w:rPr>
        <w:softHyphen/>
        <w:t>lished under Article 112 of the Rome Statute. (</w:t>
      </w:r>
      <w:proofErr w:type="spellStart"/>
      <w:r>
        <w:rPr>
          <w:rFonts w:eastAsia="Times New Roman"/>
          <w:i/>
          <w:color w:val="000000"/>
        </w:rPr>
        <w:t>Assem-blée</w:t>
      </w:r>
      <w:proofErr w:type="spellEnd"/>
      <w:r>
        <w:rPr>
          <w:rFonts w:eastAsia="Times New Roman"/>
          <w:color w:val="000000"/>
        </w:rPr>
        <w:t>)</w:t>
      </w:r>
    </w:p>
    <w:p w:rsidR="0074769E" w:rsidRDefault="007F02C7">
      <w:pPr>
        <w:spacing w:before="92" w:line="282" w:lineRule="exact"/>
        <w:jc w:val="both"/>
        <w:textAlignment w:val="baseline"/>
        <w:rPr>
          <w:rFonts w:eastAsia="Times New Roman"/>
          <w:color w:val="000000"/>
        </w:rPr>
      </w:pPr>
      <w:r>
        <w:rPr>
          <w:rFonts w:eastAsia="Times New Roman"/>
          <w:color w:val="000000"/>
        </w:rPr>
        <w:t>“Convention” means the Convention on the Privileges and Immunities of the United Nations set out in Sched</w:t>
      </w:r>
      <w:r>
        <w:rPr>
          <w:rFonts w:eastAsia="Times New Roman"/>
          <w:color w:val="000000"/>
        </w:rPr>
        <w:softHyphen/>
        <w:t xml:space="preserve">ule III to the </w:t>
      </w:r>
      <w:r>
        <w:rPr>
          <w:rFonts w:eastAsia="Times New Roman"/>
          <w:i/>
          <w:color w:val="000000"/>
        </w:rPr>
        <w:t>Foreign Missions and International Orga</w:t>
      </w:r>
      <w:r>
        <w:rPr>
          <w:rFonts w:eastAsia="Times New Roman"/>
          <w:i/>
          <w:color w:val="000000"/>
        </w:rPr>
        <w:softHyphen/>
        <w:t>nizations Act</w:t>
      </w:r>
      <w:r>
        <w:rPr>
          <w:rFonts w:eastAsia="Times New Roman"/>
          <w:color w:val="000000"/>
        </w:rPr>
        <w:t>. (</w:t>
      </w:r>
      <w:r>
        <w:rPr>
          <w:rFonts w:eastAsia="Times New Roman"/>
          <w:i/>
          <w:color w:val="000000"/>
        </w:rPr>
        <w:t>Convention</w:t>
      </w:r>
      <w:r>
        <w:rPr>
          <w:rFonts w:eastAsia="Times New Roman"/>
          <w:color w:val="000000"/>
        </w:rPr>
        <w:t>)</w:t>
      </w:r>
    </w:p>
    <w:p w:rsidR="0074769E" w:rsidRDefault="007F02C7">
      <w:pPr>
        <w:spacing w:before="94" w:line="282" w:lineRule="exact"/>
        <w:jc w:val="both"/>
        <w:textAlignment w:val="baseline"/>
        <w:rPr>
          <w:rFonts w:eastAsia="Times New Roman"/>
          <w:color w:val="000000"/>
        </w:rPr>
      </w:pPr>
      <w:r>
        <w:rPr>
          <w:rFonts w:eastAsia="Times New Roman"/>
          <w:color w:val="000000"/>
        </w:rPr>
        <w:t>“International Criminal Court” means the International Criminal Court established by the Rome Statute. (</w:t>
      </w:r>
      <w:proofErr w:type="spellStart"/>
      <w:r>
        <w:rPr>
          <w:rFonts w:eastAsia="Times New Roman"/>
          <w:i/>
          <w:color w:val="000000"/>
        </w:rPr>
        <w:t>Cour</w:t>
      </w:r>
      <w:proofErr w:type="spellEnd"/>
      <w:r>
        <w:rPr>
          <w:rFonts w:eastAsia="Times New Roman"/>
          <w:i/>
          <w:color w:val="000000"/>
        </w:rPr>
        <w:t xml:space="preserve"> </w:t>
      </w:r>
      <w:proofErr w:type="spellStart"/>
      <w:r>
        <w:rPr>
          <w:rFonts w:eastAsia="Times New Roman"/>
          <w:i/>
          <w:color w:val="000000"/>
        </w:rPr>
        <w:t>pénale</w:t>
      </w:r>
      <w:proofErr w:type="spellEnd"/>
      <w:r>
        <w:rPr>
          <w:rFonts w:eastAsia="Times New Roman"/>
          <w:i/>
          <w:color w:val="000000"/>
        </w:rPr>
        <w:t xml:space="preserve"> </w:t>
      </w:r>
      <w:proofErr w:type="spellStart"/>
      <w:proofErr w:type="gramStart"/>
      <w:r>
        <w:rPr>
          <w:rFonts w:eastAsia="Times New Roman"/>
          <w:i/>
          <w:color w:val="000000"/>
        </w:rPr>
        <w:t>internationale</w:t>
      </w:r>
      <w:proofErr w:type="spellEnd"/>
      <w:proofErr w:type="gramEnd"/>
      <w:r>
        <w:rPr>
          <w:rFonts w:eastAsia="Times New Roman"/>
          <w:color w:val="000000"/>
        </w:rPr>
        <w:t>)</w:t>
      </w:r>
    </w:p>
    <w:p w:rsidR="0074769E" w:rsidRPr="007F02C7" w:rsidRDefault="007F02C7">
      <w:pPr>
        <w:spacing w:before="90" w:line="282" w:lineRule="exact"/>
        <w:jc w:val="both"/>
        <w:textAlignment w:val="baseline"/>
        <w:rPr>
          <w:rFonts w:eastAsia="Times New Roman"/>
          <w:color w:val="000000"/>
          <w:lang w:val="fr-BE"/>
        </w:rPr>
      </w:pPr>
      <w:r>
        <w:rPr>
          <w:rFonts w:eastAsia="Times New Roman"/>
          <w:color w:val="000000"/>
        </w:rPr>
        <w:t xml:space="preserve">“Rome Statute” has the meaning assigned to that term in subsection 2(1) of the </w:t>
      </w:r>
      <w:r>
        <w:rPr>
          <w:rFonts w:eastAsia="Times New Roman"/>
          <w:i/>
          <w:color w:val="000000"/>
        </w:rPr>
        <w:t xml:space="preserve">Crimes </w:t>
      </w:r>
      <w:proofErr w:type="gramStart"/>
      <w:r>
        <w:rPr>
          <w:rFonts w:eastAsia="Times New Roman"/>
          <w:i/>
          <w:color w:val="000000"/>
        </w:rPr>
        <w:t>Against</w:t>
      </w:r>
      <w:proofErr w:type="gramEnd"/>
      <w:r>
        <w:rPr>
          <w:rFonts w:eastAsia="Times New Roman"/>
          <w:i/>
          <w:color w:val="000000"/>
        </w:rPr>
        <w:t xml:space="preserve"> Humanity and War Crimes Act</w:t>
      </w:r>
      <w:r>
        <w:rPr>
          <w:rFonts w:eastAsia="Times New Roman"/>
          <w:color w:val="000000"/>
        </w:rPr>
        <w:t xml:space="preserve">. </w:t>
      </w:r>
      <w:r w:rsidRPr="007F02C7">
        <w:rPr>
          <w:rFonts w:eastAsia="Times New Roman"/>
          <w:color w:val="000000"/>
          <w:lang w:val="fr-BE"/>
        </w:rPr>
        <w:t>(</w:t>
      </w:r>
      <w:r w:rsidRPr="007F02C7">
        <w:rPr>
          <w:rFonts w:eastAsia="Times New Roman"/>
          <w:i/>
          <w:color w:val="000000"/>
          <w:lang w:val="fr-BE"/>
        </w:rPr>
        <w:t>Statut de Rome</w:t>
      </w:r>
      <w:r w:rsidRPr="007F02C7">
        <w:rPr>
          <w:rFonts w:eastAsia="Times New Roman"/>
          <w:color w:val="000000"/>
          <w:lang w:val="fr-BE"/>
        </w:rPr>
        <w:t>)</w:t>
      </w:r>
    </w:p>
    <w:p w:rsidR="0074769E" w:rsidRPr="007F02C7" w:rsidRDefault="007F02C7">
      <w:pPr>
        <w:spacing w:line="266" w:lineRule="exact"/>
        <w:ind w:firstLine="216"/>
        <w:jc w:val="both"/>
        <w:textAlignment w:val="baseline"/>
        <w:rPr>
          <w:rFonts w:eastAsia="Times New Roman"/>
          <w:b/>
          <w:color w:val="000000"/>
          <w:lang w:val="fr-BE"/>
        </w:rPr>
      </w:pPr>
      <w:r w:rsidRPr="007F02C7">
        <w:rPr>
          <w:lang w:val="fr-BE"/>
        </w:rPr>
        <w:br w:type="column"/>
      </w:r>
      <w:r w:rsidRPr="007F02C7">
        <w:rPr>
          <w:rFonts w:eastAsia="Times New Roman"/>
          <w:b/>
          <w:color w:val="000000"/>
          <w:lang w:val="fr-BE"/>
        </w:rPr>
        <w:lastRenderedPageBreak/>
        <w:t xml:space="preserve">1. </w:t>
      </w:r>
      <w:r w:rsidRPr="007F02C7">
        <w:rPr>
          <w:rFonts w:eastAsia="Times New Roman"/>
          <w:color w:val="000000"/>
          <w:lang w:val="fr-BE"/>
        </w:rPr>
        <w:t>Les définitions qui suivent s'appliquent au présent décret.</w:t>
      </w:r>
    </w:p>
    <w:p w:rsidR="0074769E" w:rsidRPr="007F02C7" w:rsidRDefault="007F02C7">
      <w:pPr>
        <w:spacing w:before="98" w:line="282" w:lineRule="exact"/>
        <w:jc w:val="both"/>
        <w:textAlignment w:val="baseline"/>
        <w:rPr>
          <w:rFonts w:eastAsia="Times New Roman"/>
          <w:color w:val="000000"/>
          <w:lang w:val="fr-BE"/>
        </w:rPr>
      </w:pPr>
      <w:r w:rsidRPr="007F02C7">
        <w:rPr>
          <w:rFonts w:eastAsia="Times New Roman"/>
          <w:color w:val="000000"/>
          <w:lang w:val="fr-BE"/>
        </w:rPr>
        <w:t>&lt;&lt;Accord&gt;&gt; L'Accord sur les privilèges et immunités de la Cour pénale internationale, adopté par l'Assemblée en vertu du Statut de Rome. (</w:t>
      </w:r>
      <w:r w:rsidRPr="007F02C7">
        <w:rPr>
          <w:rFonts w:eastAsia="Times New Roman"/>
          <w:i/>
          <w:color w:val="000000"/>
          <w:lang w:val="fr-BE"/>
        </w:rPr>
        <w:t>Agreement</w:t>
      </w:r>
      <w:r w:rsidRPr="007F02C7">
        <w:rPr>
          <w:rFonts w:eastAsia="Times New Roman"/>
          <w:color w:val="000000"/>
          <w:lang w:val="fr-BE"/>
        </w:rPr>
        <w:t>)</w:t>
      </w:r>
    </w:p>
    <w:p w:rsidR="0074769E" w:rsidRPr="007F02C7" w:rsidRDefault="007F02C7">
      <w:pPr>
        <w:spacing w:before="94" w:line="282" w:lineRule="exact"/>
        <w:jc w:val="both"/>
        <w:textAlignment w:val="baseline"/>
        <w:rPr>
          <w:rFonts w:eastAsia="Times New Roman"/>
          <w:color w:val="000000"/>
          <w:lang w:val="fr-BE"/>
        </w:rPr>
      </w:pPr>
      <w:r w:rsidRPr="007F02C7">
        <w:rPr>
          <w:rFonts w:eastAsia="Times New Roman"/>
          <w:color w:val="000000"/>
          <w:lang w:val="fr-BE"/>
        </w:rPr>
        <w:t>&lt;&lt; Assemblée &gt;&gt; L'Assemblée des États Parties au Statut de Rome, constituée en vertu de l'article 112 du Statut de Rome. (</w:t>
      </w:r>
      <w:proofErr w:type="spellStart"/>
      <w:r w:rsidRPr="007F02C7">
        <w:rPr>
          <w:rFonts w:eastAsia="Times New Roman"/>
          <w:i/>
          <w:color w:val="000000"/>
          <w:lang w:val="fr-BE"/>
        </w:rPr>
        <w:t>Assembly</w:t>
      </w:r>
      <w:proofErr w:type="spellEnd"/>
      <w:r w:rsidRPr="007F02C7">
        <w:rPr>
          <w:rFonts w:eastAsia="Times New Roman"/>
          <w:color w:val="000000"/>
          <w:lang w:val="fr-BE"/>
        </w:rPr>
        <w:t>)</w:t>
      </w:r>
    </w:p>
    <w:p w:rsidR="0074769E" w:rsidRPr="007F02C7" w:rsidRDefault="007F02C7">
      <w:pPr>
        <w:spacing w:before="92" w:line="282" w:lineRule="exact"/>
        <w:jc w:val="both"/>
        <w:textAlignment w:val="baseline"/>
        <w:rPr>
          <w:rFonts w:eastAsia="Times New Roman"/>
          <w:color w:val="000000"/>
          <w:lang w:val="fr-BE"/>
        </w:rPr>
      </w:pPr>
      <w:r w:rsidRPr="007F02C7">
        <w:rPr>
          <w:rFonts w:eastAsia="Times New Roman"/>
          <w:color w:val="000000"/>
          <w:lang w:val="fr-BE"/>
        </w:rPr>
        <w:t xml:space="preserve">&lt;&lt;Convention&gt;&gt; La Convention sur les privilèges et </w:t>
      </w:r>
      <w:proofErr w:type="spellStart"/>
      <w:r w:rsidRPr="007F02C7">
        <w:rPr>
          <w:rFonts w:eastAsia="Times New Roman"/>
          <w:color w:val="000000"/>
          <w:lang w:val="fr-BE"/>
        </w:rPr>
        <w:t>im-munités</w:t>
      </w:r>
      <w:proofErr w:type="spellEnd"/>
      <w:r w:rsidRPr="007F02C7">
        <w:rPr>
          <w:rFonts w:eastAsia="Times New Roman"/>
          <w:color w:val="000000"/>
          <w:lang w:val="fr-BE"/>
        </w:rPr>
        <w:t xml:space="preserve"> des Nations Unies figurant à l'annexe III de la </w:t>
      </w:r>
      <w:r w:rsidRPr="007F02C7">
        <w:rPr>
          <w:rFonts w:eastAsia="Times New Roman"/>
          <w:i/>
          <w:color w:val="000000"/>
          <w:lang w:val="fr-BE"/>
        </w:rPr>
        <w:t xml:space="preserve">Loi sur les missions étrangères et les organisations </w:t>
      </w:r>
      <w:proofErr w:type="spellStart"/>
      <w:r w:rsidRPr="007F02C7">
        <w:rPr>
          <w:rFonts w:eastAsia="Times New Roman"/>
          <w:i/>
          <w:color w:val="000000"/>
          <w:lang w:val="fr-BE"/>
        </w:rPr>
        <w:t>in-ternationales</w:t>
      </w:r>
      <w:proofErr w:type="spellEnd"/>
      <w:r w:rsidRPr="007F02C7">
        <w:rPr>
          <w:rFonts w:eastAsia="Times New Roman"/>
          <w:color w:val="000000"/>
          <w:lang w:val="fr-BE"/>
        </w:rPr>
        <w:t>. (</w:t>
      </w:r>
      <w:r w:rsidRPr="007F02C7">
        <w:rPr>
          <w:rFonts w:eastAsia="Times New Roman"/>
          <w:i/>
          <w:color w:val="000000"/>
          <w:lang w:val="fr-BE"/>
        </w:rPr>
        <w:t>Convention</w:t>
      </w:r>
      <w:r w:rsidRPr="007F02C7">
        <w:rPr>
          <w:rFonts w:eastAsia="Times New Roman"/>
          <w:color w:val="000000"/>
          <w:lang w:val="fr-BE"/>
        </w:rPr>
        <w:t>)</w:t>
      </w:r>
    </w:p>
    <w:p w:rsidR="0074769E" w:rsidRPr="007F02C7" w:rsidRDefault="007F02C7">
      <w:pPr>
        <w:spacing w:before="94" w:line="282" w:lineRule="exact"/>
        <w:jc w:val="both"/>
        <w:textAlignment w:val="baseline"/>
        <w:rPr>
          <w:rFonts w:eastAsia="Times New Roman"/>
          <w:color w:val="000000"/>
          <w:spacing w:val="-4"/>
          <w:lang w:val="fr-BE"/>
        </w:rPr>
      </w:pPr>
      <w:r w:rsidRPr="007F02C7">
        <w:rPr>
          <w:rFonts w:eastAsia="Times New Roman"/>
          <w:color w:val="000000"/>
          <w:spacing w:val="-4"/>
          <w:lang w:val="fr-BE"/>
        </w:rPr>
        <w:t xml:space="preserve">&lt;&lt;Cour pénale internationale &gt;&gt; La Cour pénale </w:t>
      </w:r>
      <w:proofErr w:type="spellStart"/>
      <w:r w:rsidRPr="007F02C7">
        <w:rPr>
          <w:rFonts w:eastAsia="Times New Roman"/>
          <w:color w:val="000000"/>
          <w:spacing w:val="-4"/>
          <w:lang w:val="fr-BE"/>
        </w:rPr>
        <w:t>internatio-nale</w:t>
      </w:r>
      <w:proofErr w:type="spellEnd"/>
      <w:r w:rsidRPr="007F02C7">
        <w:rPr>
          <w:rFonts w:eastAsia="Times New Roman"/>
          <w:color w:val="000000"/>
          <w:spacing w:val="-4"/>
          <w:lang w:val="fr-BE"/>
        </w:rPr>
        <w:t xml:space="preserve"> constituée par le Statut de Rome. (</w:t>
      </w:r>
      <w:r w:rsidRPr="007F02C7">
        <w:rPr>
          <w:rFonts w:eastAsia="Times New Roman"/>
          <w:i/>
          <w:color w:val="000000"/>
          <w:spacing w:val="-4"/>
          <w:lang w:val="fr-BE"/>
        </w:rPr>
        <w:t xml:space="preserve">International </w:t>
      </w:r>
      <w:proofErr w:type="spellStart"/>
      <w:r w:rsidRPr="007F02C7">
        <w:rPr>
          <w:rFonts w:eastAsia="Times New Roman"/>
          <w:i/>
          <w:color w:val="000000"/>
          <w:spacing w:val="-4"/>
          <w:lang w:val="fr-BE"/>
        </w:rPr>
        <w:t>Criminal</w:t>
      </w:r>
      <w:proofErr w:type="spellEnd"/>
      <w:r w:rsidRPr="007F02C7">
        <w:rPr>
          <w:rFonts w:eastAsia="Times New Roman"/>
          <w:i/>
          <w:color w:val="000000"/>
          <w:spacing w:val="-4"/>
          <w:lang w:val="fr-BE"/>
        </w:rPr>
        <w:t xml:space="preserve"> Court</w:t>
      </w:r>
      <w:r w:rsidRPr="007F02C7">
        <w:rPr>
          <w:rFonts w:eastAsia="Times New Roman"/>
          <w:color w:val="000000"/>
          <w:spacing w:val="-4"/>
          <w:lang w:val="fr-BE"/>
        </w:rPr>
        <w:t>)</w:t>
      </w:r>
    </w:p>
    <w:p w:rsidR="0074769E" w:rsidRDefault="007F02C7">
      <w:pPr>
        <w:spacing w:before="92" w:after="40" w:line="282" w:lineRule="exact"/>
        <w:jc w:val="both"/>
        <w:textAlignment w:val="baseline"/>
        <w:rPr>
          <w:rFonts w:eastAsia="Times New Roman"/>
          <w:color w:val="000000"/>
        </w:rPr>
      </w:pPr>
      <w:r w:rsidRPr="007F02C7">
        <w:rPr>
          <w:rFonts w:eastAsia="Times New Roman"/>
          <w:color w:val="000000"/>
          <w:lang w:val="fr-BE"/>
        </w:rPr>
        <w:t xml:space="preserve">&lt;&lt; Statut de Rome&gt;&gt; Le Statut de Rome de la Cour pénale internationale, au sens du paragraphe 2(1) de la </w:t>
      </w:r>
      <w:r w:rsidRPr="007F02C7">
        <w:rPr>
          <w:rFonts w:eastAsia="Times New Roman"/>
          <w:i/>
          <w:color w:val="000000"/>
          <w:lang w:val="fr-BE"/>
        </w:rPr>
        <w:t>Loi sur les crimes contre l'humanité et les crimes de guerre</w:t>
      </w:r>
      <w:r w:rsidRPr="007F02C7">
        <w:rPr>
          <w:rFonts w:eastAsia="Times New Roman"/>
          <w:color w:val="000000"/>
          <w:lang w:val="fr-BE"/>
        </w:rPr>
        <w:t xml:space="preserve">. </w:t>
      </w:r>
      <w:r>
        <w:rPr>
          <w:rFonts w:eastAsia="Times New Roman"/>
          <w:color w:val="000000"/>
        </w:rPr>
        <w:t>(</w:t>
      </w:r>
      <w:r>
        <w:rPr>
          <w:rFonts w:eastAsia="Times New Roman"/>
          <w:i/>
          <w:color w:val="000000"/>
        </w:rPr>
        <w:t>Rome Statute</w:t>
      </w:r>
      <w:r>
        <w:rPr>
          <w:rFonts w:eastAsia="Times New Roman"/>
          <w:color w:val="000000"/>
        </w:rPr>
        <w:t>)</w:t>
      </w:r>
    </w:p>
    <w:p w:rsidR="0074769E" w:rsidRDefault="0074769E">
      <w:pPr>
        <w:spacing w:before="92" w:after="40" w:line="282" w:lineRule="exact"/>
        <w:sectPr w:rsidR="0074769E">
          <w:type w:val="continuous"/>
          <w:pgSz w:w="12240" w:h="15840"/>
          <w:pgMar w:top="2495" w:right="938" w:bottom="1563" w:left="931" w:header="720" w:footer="720" w:gutter="0"/>
          <w:cols w:num="2" w:space="0" w:equalWidth="0">
            <w:col w:w="5083" w:space="205"/>
            <w:col w:w="5083" w:space="0"/>
          </w:cols>
        </w:sectPr>
      </w:pPr>
    </w:p>
    <w:p w:rsidR="0074769E" w:rsidRDefault="007F02C7">
      <w:pPr>
        <w:tabs>
          <w:tab w:val="right" w:pos="8496"/>
        </w:tabs>
        <w:spacing w:before="174" w:after="125" w:line="259" w:lineRule="exact"/>
        <w:ind w:left="144"/>
        <w:textAlignment w:val="baseline"/>
        <w:rPr>
          <w:rFonts w:eastAsia="Times New Roman"/>
          <w:color w:val="000000"/>
        </w:rPr>
      </w:pPr>
      <w:r>
        <w:rPr>
          <w:rFonts w:eastAsia="Times New Roman"/>
          <w:color w:val="000000"/>
        </w:rPr>
        <w:lastRenderedPageBreak/>
        <w:t>PRIVILEGES AND IMMUNITIES</w:t>
      </w:r>
      <w:r>
        <w:rPr>
          <w:rFonts w:eastAsia="Times New Roman"/>
          <w:color w:val="000000"/>
        </w:rPr>
        <w:tab/>
        <w:t>PRIVILÈGES ET IMMUNITÉS</w:t>
      </w:r>
    </w:p>
    <w:p w:rsidR="0074769E" w:rsidRDefault="0074769E">
      <w:pPr>
        <w:spacing w:before="174" w:after="125" w:line="259" w:lineRule="exact"/>
        <w:sectPr w:rsidR="0074769E">
          <w:type w:val="continuous"/>
          <w:pgSz w:w="12240" w:h="15840"/>
          <w:pgMar w:top="2495" w:right="1874" w:bottom="1563" w:left="1726" w:header="720" w:footer="720" w:gutter="0"/>
          <w:cols w:space="720"/>
        </w:sectPr>
      </w:pPr>
    </w:p>
    <w:p w:rsidR="0074769E" w:rsidRDefault="007F02C7">
      <w:pPr>
        <w:spacing w:line="274" w:lineRule="exact"/>
        <w:ind w:firstLine="216"/>
        <w:jc w:val="both"/>
        <w:textAlignment w:val="baseline"/>
        <w:rPr>
          <w:rFonts w:eastAsia="Times New Roman"/>
          <w:b/>
          <w:color w:val="000000"/>
        </w:rPr>
      </w:pPr>
      <w:r>
        <w:rPr>
          <w:rFonts w:eastAsia="Times New Roman"/>
          <w:b/>
          <w:color w:val="000000"/>
        </w:rPr>
        <w:lastRenderedPageBreak/>
        <w:t xml:space="preserve">2. </w:t>
      </w:r>
      <w:r>
        <w:rPr>
          <w:rFonts w:eastAsia="Times New Roman"/>
          <w:color w:val="000000"/>
        </w:rPr>
        <w:t>(1) The International Criminal Court shall have in Canada the legal capacities of a body corporate and, to the extent specified in the Agreement, the privileges and immunities set out in Articles II and III of the Conven</w:t>
      </w:r>
      <w:r>
        <w:rPr>
          <w:rFonts w:eastAsia="Times New Roman"/>
          <w:color w:val="000000"/>
        </w:rPr>
        <w:softHyphen/>
        <w:t>tion.</w:t>
      </w:r>
    </w:p>
    <w:p w:rsidR="0074769E" w:rsidRDefault="007F02C7">
      <w:pPr>
        <w:numPr>
          <w:ilvl w:val="0"/>
          <w:numId w:val="1"/>
        </w:numPr>
        <w:tabs>
          <w:tab w:val="clear" w:pos="360"/>
          <w:tab w:val="left" w:pos="576"/>
        </w:tabs>
        <w:spacing w:before="98" w:line="281" w:lineRule="exact"/>
        <w:ind w:left="0" w:firstLine="216"/>
        <w:jc w:val="both"/>
        <w:textAlignment w:val="baseline"/>
        <w:rPr>
          <w:rFonts w:eastAsia="Times New Roman"/>
          <w:color w:val="000000"/>
        </w:rPr>
      </w:pPr>
      <w:r>
        <w:rPr>
          <w:rFonts w:eastAsia="Times New Roman"/>
          <w:color w:val="000000"/>
        </w:rPr>
        <w:t>Subject to subsection (4), representatives of a for</w:t>
      </w:r>
      <w:r>
        <w:rPr>
          <w:rFonts w:eastAsia="Times New Roman"/>
          <w:color w:val="000000"/>
        </w:rPr>
        <w:softHyphen/>
        <w:t>eign state that is a member of or that participates in the Assembly shall have in Canada, to the extent specified in the Agreement, the privileges and immunities set out in Article IV of the Convention.</w:t>
      </w:r>
    </w:p>
    <w:p w:rsidR="0074769E" w:rsidRDefault="007F02C7">
      <w:pPr>
        <w:numPr>
          <w:ilvl w:val="0"/>
          <w:numId w:val="1"/>
        </w:numPr>
        <w:tabs>
          <w:tab w:val="clear" w:pos="360"/>
          <w:tab w:val="left" w:pos="576"/>
        </w:tabs>
        <w:spacing w:before="99" w:line="278" w:lineRule="exact"/>
        <w:ind w:left="0" w:firstLine="216"/>
        <w:jc w:val="both"/>
        <w:textAlignment w:val="baseline"/>
        <w:rPr>
          <w:rFonts w:eastAsia="Times New Roman"/>
          <w:color w:val="000000"/>
          <w:spacing w:val="-1"/>
        </w:rPr>
      </w:pPr>
      <w:r>
        <w:rPr>
          <w:rFonts w:eastAsia="Times New Roman"/>
          <w:color w:val="000000"/>
          <w:spacing w:val="-1"/>
        </w:rPr>
        <w:t>Subject to subsection (4), judges, officials and staff of the International Criminal Court and counsel, ex</w:t>
      </w:r>
      <w:r>
        <w:rPr>
          <w:rFonts w:eastAsia="Times New Roman"/>
          <w:color w:val="000000"/>
          <w:spacing w:val="-1"/>
        </w:rPr>
        <w:softHyphen/>
        <w:t xml:space="preserve">perts, witnesses and other persons required to be present at the seat of that Court shall have the privileges and </w:t>
      </w:r>
      <w:proofErr w:type="spellStart"/>
      <w:r>
        <w:rPr>
          <w:rFonts w:eastAsia="Times New Roman"/>
          <w:color w:val="000000"/>
          <w:spacing w:val="-1"/>
        </w:rPr>
        <w:t>im</w:t>
      </w:r>
      <w:proofErr w:type="spellEnd"/>
      <w:r>
        <w:rPr>
          <w:rFonts w:eastAsia="Times New Roman"/>
          <w:color w:val="000000"/>
          <w:spacing w:val="-1"/>
        </w:rPr>
        <w:t>-</w:t>
      </w:r>
    </w:p>
    <w:p w:rsidR="0074769E" w:rsidRPr="007F02C7" w:rsidRDefault="007F02C7">
      <w:pPr>
        <w:spacing w:line="274" w:lineRule="exact"/>
        <w:ind w:firstLine="216"/>
        <w:jc w:val="both"/>
        <w:textAlignment w:val="baseline"/>
        <w:rPr>
          <w:rFonts w:eastAsia="Times New Roman"/>
          <w:b/>
          <w:color w:val="000000"/>
          <w:lang w:val="fr-BE"/>
        </w:rPr>
      </w:pPr>
      <w:r w:rsidRPr="007F02C7">
        <w:rPr>
          <w:lang w:val="fr-BE"/>
        </w:rPr>
        <w:br w:type="column"/>
      </w:r>
      <w:r w:rsidRPr="007F02C7">
        <w:rPr>
          <w:rFonts w:eastAsia="Times New Roman"/>
          <w:b/>
          <w:color w:val="000000"/>
          <w:lang w:val="fr-BE"/>
        </w:rPr>
        <w:lastRenderedPageBreak/>
        <w:t xml:space="preserve">2. </w:t>
      </w:r>
      <w:r w:rsidRPr="007F02C7">
        <w:rPr>
          <w:rFonts w:eastAsia="Times New Roman"/>
          <w:color w:val="000000"/>
          <w:lang w:val="fr-BE"/>
        </w:rPr>
        <w:t>(1) La Cour pénale internationale possède, au Canada, la capacité juridique d'une personne morale et y bénéficie, dans la mesure spécifiée dans l'Accord, des privilèges et immunités énoncés aux articles II et III de la Convention.</w:t>
      </w:r>
    </w:p>
    <w:p w:rsidR="0074769E" w:rsidRPr="007F02C7" w:rsidRDefault="000679B7">
      <w:pPr>
        <w:numPr>
          <w:ilvl w:val="0"/>
          <w:numId w:val="2"/>
        </w:numPr>
        <w:tabs>
          <w:tab w:val="clear" w:pos="360"/>
          <w:tab w:val="left" w:pos="576"/>
        </w:tabs>
        <w:spacing w:before="98" w:line="281" w:lineRule="exact"/>
        <w:ind w:left="0" w:firstLine="216"/>
        <w:jc w:val="both"/>
        <w:textAlignment w:val="baseline"/>
        <w:rPr>
          <w:rFonts w:eastAsia="Times New Roman"/>
          <w:color w:val="000000"/>
          <w:lang w:val="fr-BE"/>
        </w:rPr>
      </w:pPr>
      <w:r>
        <w:pict>
          <v:shape id="_x0000_s1027" type="#_x0000_t202" style="position:absolute;left:0;text-align:left;margin-left:47.35pt;margin-top:743.3pt;width:517.75pt;height:12.65pt;z-index:-251655680;mso-wrap-distance-left:0;mso-wrap-distance-right:0;mso-position-horizontal-relative:page;mso-position-vertical-relative:page" filled="f" stroked="f">
            <v:textbox inset="0,0,0,0">
              <w:txbxContent>
                <w:p w:rsidR="0074769E" w:rsidRDefault="007F02C7">
                  <w:pPr>
                    <w:spacing w:line="239" w:lineRule="exact"/>
                    <w:jc w:val="center"/>
                    <w:textAlignment w:val="baseline"/>
                    <w:rPr>
                      <w:rFonts w:eastAsia="Times New Roman"/>
                      <w:color w:val="000000"/>
                    </w:rPr>
                  </w:pPr>
                  <w:r>
                    <w:rPr>
                      <w:rFonts w:eastAsia="Times New Roman"/>
                      <w:color w:val="000000"/>
                    </w:rPr>
                    <w:t>1</w:t>
                  </w:r>
                </w:p>
              </w:txbxContent>
            </v:textbox>
            <w10:wrap type="square" anchorx="page" anchory="page"/>
          </v:shape>
        </w:pict>
      </w:r>
      <w:r w:rsidR="007F02C7" w:rsidRPr="007F02C7">
        <w:rPr>
          <w:rFonts w:eastAsia="Times New Roman"/>
          <w:color w:val="000000"/>
          <w:lang w:val="fr-BE"/>
        </w:rPr>
        <w:t xml:space="preserve">Sous réserve du paragraphe (4), les représentants membres de l'Assemblée ou y participant bénéficient au Canada, dans la mesure spécifiée dans l'Accord, des </w:t>
      </w:r>
      <w:proofErr w:type="spellStart"/>
      <w:r w:rsidR="007F02C7" w:rsidRPr="007F02C7">
        <w:rPr>
          <w:rFonts w:eastAsia="Times New Roman"/>
          <w:color w:val="000000"/>
          <w:lang w:val="fr-BE"/>
        </w:rPr>
        <w:t>pri-vilèges</w:t>
      </w:r>
      <w:proofErr w:type="spellEnd"/>
      <w:r w:rsidR="007F02C7" w:rsidRPr="007F02C7">
        <w:rPr>
          <w:rFonts w:eastAsia="Times New Roman"/>
          <w:color w:val="000000"/>
          <w:lang w:val="fr-BE"/>
        </w:rPr>
        <w:t xml:space="preserve"> et immunités énoncés à l'article IV de la Conven</w:t>
      </w:r>
      <w:r w:rsidR="007F02C7" w:rsidRPr="007F02C7">
        <w:rPr>
          <w:rFonts w:eastAsia="Times New Roman"/>
          <w:color w:val="000000"/>
          <w:lang w:val="fr-BE"/>
        </w:rPr>
        <w:softHyphen/>
        <w:t>tion.</w:t>
      </w:r>
    </w:p>
    <w:p w:rsidR="0074769E" w:rsidRPr="007F02C7" w:rsidRDefault="007F02C7">
      <w:pPr>
        <w:numPr>
          <w:ilvl w:val="0"/>
          <w:numId w:val="2"/>
        </w:numPr>
        <w:tabs>
          <w:tab w:val="clear" w:pos="360"/>
          <w:tab w:val="left" w:pos="576"/>
        </w:tabs>
        <w:spacing w:before="102" w:line="277" w:lineRule="exact"/>
        <w:ind w:left="0" w:firstLine="216"/>
        <w:jc w:val="both"/>
        <w:textAlignment w:val="baseline"/>
        <w:rPr>
          <w:rFonts w:eastAsia="Times New Roman"/>
          <w:color w:val="000000"/>
          <w:lang w:val="fr-BE"/>
        </w:rPr>
      </w:pPr>
      <w:r w:rsidRPr="007F02C7">
        <w:rPr>
          <w:rFonts w:eastAsia="Times New Roman"/>
          <w:color w:val="000000"/>
          <w:lang w:val="fr-BE"/>
        </w:rPr>
        <w:t xml:space="preserve">Sous réserve du paragraphe (4), les juges, les fonctionnaires et le personnel de la Cour pénale </w:t>
      </w:r>
      <w:proofErr w:type="spellStart"/>
      <w:r w:rsidRPr="007F02C7">
        <w:rPr>
          <w:rFonts w:eastAsia="Times New Roman"/>
          <w:color w:val="000000"/>
          <w:lang w:val="fr-BE"/>
        </w:rPr>
        <w:t>interna-tionale</w:t>
      </w:r>
      <w:proofErr w:type="spellEnd"/>
      <w:r w:rsidRPr="007F02C7">
        <w:rPr>
          <w:rFonts w:eastAsia="Times New Roman"/>
          <w:color w:val="000000"/>
          <w:lang w:val="fr-BE"/>
        </w:rPr>
        <w:t>, ainsi que les avocats, experts, témoins et autres personnes dont la présence est requise au siège de la cour, bénéficient des privilèges et immunités prévus à</w:t>
      </w:r>
    </w:p>
    <w:p w:rsidR="0074769E" w:rsidRPr="007F02C7" w:rsidRDefault="0074769E">
      <w:pPr>
        <w:rPr>
          <w:lang w:val="fr-BE"/>
        </w:rPr>
        <w:sectPr w:rsidR="0074769E" w:rsidRPr="007F02C7">
          <w:type w:val="continuous"/>
          <w:pgSz w:w="12240" w:h="15840"/>
          <w:pgMar w:top="2495" w:right="941" w:bottom="1563" w:left="947" w:header="720" w:footer="720" w:gutter="0"/>
          <w:cols w:num="2" w:space="0" w:equalWidth="0">
            <w:col w:w="5079" w:space="194"/>
            <w:col w:w="5079" w:space="0"/>
          </w:cols>
        </w:sectPr>
      </w:pPr>
    </w:p>
    <w:p w:rsidR="0074769E" w:rsidRDefault="007F02C7">
      <w:pPr>
        <w:spacing w:after="980" w:line="240" w:lineRule="exact"/>
        <w:jc w:val="center"/>
        <w:textAlignment w:val="baseline"/>
        <w:rPr>
          <w:rFonts w:eastAsia="Times New Roman"/>
          <w:i/>
          <w:color w:val="000000"/>
        </w:rPr>
      </w:pPr>
      <w:r>
        <w:rPr>
          <w:rFonts w:eastAsia="Times New Roman"/>
          <w:i/>
          <w:color w:val="000000"/>
        </w:rPr>
        <w:lastRenderedPageBreak/>
        <w:t>SOR/2004-156 — June 12, 2014</w:t>
      </w:r>
    </w:p>
    <w:p w:rsidR="0074769E" w:rsidRDefault="0074769E">
      <w:pPr>
        <w:spacing w:after="980" w:line="240" w:lineRule="exact"/>
        <w:sectPr w:rsidR="0074769E">
          <w:pgSz w:w="12240" w:h="15840"/>
          <w:pgMar w:top="940" w:right="1798" w:bottom="10664" w:left="1802" w:header="720" w:footer="720" w:gutter="0"/>
          <w:cols w:space="720"/>
        </w:sectPr>
      </w:pPr>
    </w:p>
    <w:p w:rsidR="0074769E" w:rsidRDefault="007F02C7">
      <w:pPr>
        <w:spacing w:line="266" w:lineRule="exact"/>
        <w:jc w:val="both"/>
        <w:textAlignment w:val="baseline"/>
        <w:rPr>
          <w:rFonts w:eastAsia="Times New Roman"/>
          <w:color w:val="000000"/>
        </w:rPr>
      </w:pPr>
      <w:proofErr w:type="gramStart"/>
      <w:r>
        <w:rPr>
          <w:rFonts w:eastAsia="Times New Roman"/>
          <w:color w:val="000000"/>
        </w:rPr>
        <w:lastRenderedPageBreak/>
        <w:t>munities</w:t>
      </w:r>
      <w:proofErr w:type="gramEnd"/>
      <w:r>
        <w:rPr>
          <w:rFonts w:eastAsia="Times New Roman"/>
          <w:color w:val="000000"/>
        </w:rPr>
        <w:t xml:space="preserve"> set out in Article 48 of the Rome Statute and in the Agreement.</w:t>
      </w:r>
    </w:p>
    <w:p w:rsidR="0074769E" w:rsidRDefault="007F02C7">
      <w:pPr>
        <w:spacing w:before="98" w:line="277" w:lineRule="exact"/>
        <w:ind w:firstLine="216"/>
        <w:jc w:val="both"/>
        <w:textAlignment w:val="baseline"/>
        <w:rPr>
          <w:rFonts w:eastAsia="Times New Roman"/>
          <w:color w:val="000000"/>
        </w:rPr>
      </w:pPr>
      <w:r>
        <w:rPr>
          <w:rFonts w:eastAsia="Times New Roman"/>
          <w:color w:val="000000"/>
        </w:rPr>
        <w:t xml:space="preserve">(4) This Order does not exempt permanent residents of Canada and Canadian citizens from liability for taxes or duties imposed by any law in Canada. </w:t>
      </w:r>
    </w:p>
    <w:p w:rsidR="0074769E" w:rsidRPr="007F02C7" w:rsidRDefault="007F02C7">
      <w:pPr>
        <w:spacing w:line="266" w:lineRule="exact"/>
        <w:jc w:val="both"/>
        <w:textAlignment w:val="baseline"/>
        <w:rPr>
          <w:rFonts w:eastAsia="Times New Roman"/>
          <w:color w:val="000000"/>
          <w:lang w:val="fr-BE"/>
        </w:rPr>
      </w:pPr>
      <w:r w:rsidRPr="007F02C7">
        <w:rPr>
          <w:lang w:val="en-GB"/>
        </w:rPr>
        <w:br w:type="column"/>
      </w:r>
      <w:proofErr w:type="gramStart"/>
      <w:r w:rsidRPr="007F02C7">
        <w:rPr>
          <w:rFonts w:eastAsia="Times New Roman"/>
          <w:color w:val="000000"/>
          <w:lang w:val="fr-BE"/>
        </w:rPr>
        <w:lastRenderedPageBreak/>
        <w:t>l'article</w:t>
      </w:r>
      <w:proofErr w:type="gramEnd"/>
      <w:r w:rsidRPr="007F02C7">
        <w:rPr>
          <w:rFonts w:eastAsia="Times New Roman"/>
          <w:color w:val="000000"/>
          <w:lang w:val="fr-BE"/>
        </w:rPr>
        <w:t xml:space="preserve"> 48 du Statut de Rome de même que ceux prévus dans l'Accord.</w:t>
      </w:r>
    </w:p>
    <w:p w:rsidR="0074769E" w:rsidRPr="007F02C7" w:rsidRDefault="007F02C7">
      <w:pPr>
        <w:spacing w:before="98" w:line="277" w:lineRule="exact"/>
        <w:ind w:firstLine="216"/>
        <w:jc w:val="both"/>
        <w:textAlignment w:val="baseline"/>
        <w:rPr>
          <w:rFonts w:eastAsia="Times New Roman"/>
          <w:color w:val="000000"/>
          <w:lang w:val="fr-BE"/>
        </w:rPr>
      </w:pPr>
      <w:r w:rsidRPr="007F02C7">
        <w:rPr>
          <w:rFonts w:eastAsia="Times New Roman"/>
          <w:color w:val="000000"/>
          <w:lang w:val="fr-BE"/>
        </w:rPr>
        <w:t>(4) Le présent décret n'a pas pour effet d'exonérer un citoyen canadien ou un résident permanent du Canada d'impôts ou de droits légalement institués au Canada.</w:t>
      </w:r>
    </w:p>
    <w:p w:rsidR="0074769E" w:rsidRPr="007F02C7" w:rsidRDefault="0074769E">
      <w:pPr>
        <w:rPr>
          <w:lang w:val="fr-BE"/>
        </w:rPr>
        <w:sectPr w:rsidR="0074769E" w:rsidRPr="007F02C7">
          <w:type w:val="continuous"/>
          <w:pgSz w:w="12240" w:h="15840"/>
          <w:pgMar w:top="940" w:right="939" w:bottom="10664" w:left="949" w:header="720" w:footer="720" w:gutter="0"/>
          <w:cols w:num="2" w:space="0" w:equalWidth="0">
            <w:col w:w="5079" w:space="194"/>
            <w:col w:w="5079" w:space="0"/>
          </w:cols>
        </w:sectPr>
      </w:pPr>
    </w:p>
    <w:p w:rsidR="0074769E" w:rsidRPr="007F02C7" w:rsidRDefault="007F02C7">
      <w:pPr>
        <w:tabs>
          <w:tab w:val="left" w:pos="5760"/>
        </w:tabs>
        <w:spacing w:before="220" w:after="110" w:line="264" w:lineRule="exact"/>
        <w:ind w:left="504"/>
        <w:textAlignment w:val="baseline"/>
        <w:rPr>
          <w:rFonts w:eastAsia="Times New Roman"/>
          <w:b/>
          <w:color w:val="000000"/>
          <w:lang w:val="fr-BE"/>
        </w:rPr>
      </w:pPr>
      <w:r w:rsidRPr="007F02C7">
        <w:rPr>
          <w:rFonts w:eastAsia="Times New Roman"/>
          <w:b/>
          <w:color w:val="000000"/>
          <w:lang w:val="fr-BE"/>
        </w:rPr>
        <w:lastRenderedPageBreak/>
        <w:t>COMING INTO FORCE</w:t>
      </w:r>
      <w:r w:rsidRPr="007F02C7">
        <w:rPr>
          <w:rFonts w:eastAsia="Times New Roman"/>
          <w:b/>
          <w:color w:val="000000"/>
          <w:lang w:val="fr-BE"/>
        </w:rPr>
        <w:tab/>
        <w:t>ENTRÉE EN VIGUEUR</w:t>
      </w:r>
    </w:p>
    <w:p w:rsidR="0074769E" w:rsidRPr="007F02C7" w:rsidRDefault="0074769E">
      <w:pPr>
        <w:spacing w:before="220" w:after="110" w:line="264" w:lineRule="exact"/>
        <w:rPr>
          <w:lang w:val="fr-BE"/>
        </w:rPr>
        <w:sectPr w:rsidR="0074769E" w:rsidRPr="007F02C7">
          <w:type w:val="continuous"/>
          <w:pgSz w:w="12240" w:h="15840"/>
          <w:pgMar w:top="940" w:right="1802" w:bottom="10664" w:left="1798" w:header="720" w:footer="720" w:gutter="0"/>
          <w:cols w:space="720"/>
        </w:sectPr>
      </w:pPr>
    </w:p>
    <w:p w:rsidR="0074769E" w:rsidRDefault="000679B7">
      <w:pPr>
        <w:spacing w:line="261" w:lineRule="exact"/>
        <w:ind w:firstLine="216"/>
        <w:jc w:val="both"/>
        <w:textAlignment w:val="baseline"/>
        <w:rPr>
          <w:rFonts w:eastAsia="Times New Roman"/>
          <w:b/>
          <w:color w:val="000000"/>
        </w:rPr>
      </w:pPr>
      <w:r>
        <w:lastRenderedPageBreak/>
        <w:pict>
          <v:shape id="_x0000_s1026" type="#_x0000_t202" style="position:absolute;left:0;text-align:left;margin-left:47.35pt;margin-top:743.3pt;width:517.6pt;height:12.7pt;z-index:-251654656;mso-wrap-distance-left:0;mso-wrap-distance-right:0;mso-position-horizontal-relative:page;mso-position-vertical-relative:page" filled="f" stroked="f">
            <v:textbox inset="0,0,0,0">
              <w:txbxContent>
                <w:p w:rsidR="0074769E" w:rsidRDefault="007F02C7">
                  <w:pPr>
                    <w:spacing w:line="254" w:lineRule="exact"/>
                    <w:jc w:val="center"/>
                    <w:textAlignment w:val="baseline"/>
                    <w:rPr>
                      <w:rFonts w:eastAsia="Times New Roman"/>
                      <w:color w:val="000000"/>
                    </w:rPr>
                  </w:pPr>
                  <w:r>
                    <w:rPr>
                      <w:rFonts w:eastAsia="Times New Roman"/>
                      <w:color w:val="000000"/>
                    </w:rPr>
                    <w:t>2</w:t>
                  </w:r>
                </w:p>
              </w:txbxContent>
            </v:textbox>
            <w10:wrap type="square" anchorx="page" anchory="page"/>
          </v:shape>
        </w:pict>
      </w:r>
      <w:r w:rsidR="007F02C7">
        <w:rPr>
          <w:rFonts w:eastAsia="Times New Roman"/>
          <w:b/>
          <w:color w:val="000000"/>
        </w:rPr>
        <w:t>3. This Order comes into force on the day on which it is registered.</w:t>
      </w:r>
    </w:p>
    <w:p w:rsidR="0074769E" w:rsidRPr="007F02C7" w:rsidRDefault="007F02C7">
      <w:pPr>
        <w:spacing w:line="261" w:lineRule="exact"/>
        <w:ind w:firstLine="216"/>
        <w:jc w:val="both"/>
        <w:textAlignment w:val="baseline"/>
        <w:rPr>
          <w:rFonts w:eastAsia="Times New Roman"/>
          <w:b/>
          <w:color w:val="000000"/>
          <w:lang w:val="fr-BE"/>
        </w:rPr>
      </w:pPr>
      <w:r w:rsidRPr="007F02C7">
        <w:rPr>
          <w:lang w:val="fr-BE"/>
        </w:rPr>
        <w:br w:type="column"/>
      </w:r>
      <w:r w:rsidRPr="007F02C7">
        <w:rPr>
          <w:rFonts w:eastAsia="Times New Roman"/>
          <w:b/>
          <w:color w:val="000000"/>
          <w:lang w:val="fr-BE"/>
        </w:rPr>
        <w:lastRenderedPageBreak/>
        <w:t>3. Le présent décret entre en vigueur à la date de son enregistrement.</w:t>
      </w:r>
    </w:p>
    <w:sectPr w:rsidR="0074769E" w:rsidRPr="007F02C7">
      <w:type w:val="continuous"/>
      <w:pgSz w:w="12240" w:h="15840"/>
      <w:pgMar w:top="940" w:right="941" w:bottom="10664" w:left="947" w:header="720" w:footer="720" w:gutter="0"/>
      <w:cols w:num="2" w:space="0" w:equalWidth="0">
        <w:col w:w="5079" w:space="194"/>
        <w:col w:w="50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BC0"/>
    <w:multiLevelType w:val="multilevel"/>
    <w:tmpl w:val="73D0771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34CD0"/>
    <w:multiLevelType w:val="multilevel"/>
    <w:tmpl w:val="063EC58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4769E"/>
    <w:rsid w:val="000679B7"/>
    <w:rsid w:val="0074769E"/>
    <w:rsid w:val="007F02C7"/>
    <w:rsid w:val="0086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C7"/>
    <w:rPr>
      <w:rFonts w:ascii="Tahoma" w:hAnsi="Tahoma" w:cs="Tahoma"/>
      <w:sz w:val="16"/>
      <w:szCs w:val="16"/>
    </w:rPr>
  </w:style>
  <w:style w:type="character" w:customStyle="1" w:styleId="BalloonTextChar">
    <w:name w:val="Balloon Text Char"/>
    <w:basedOn w:val="DefaultParagraphFont"/>
    <w:link w:val="BalloonText"/>
    <w:uiPriority w:val="99"/>
    <w:semiHidden/>
    <w:rsid w:val="007F02C7"/>
    <w:rPr>
      <w:rFonts w:ascii="Tahoma" w:hAnsi="Tahoma" w:cs="Tahoma"/>
      <w:sz w:val="16"/>
      <w:szCs w:val="16"/>
    </w:rPr>
  </w:style>
  <w:style w:type="character" w:styleId="CommentReference">
    <w:name w:val="annotation reference"/>
    <w:basedOn w:val="DefaultParagraphFont"/>
    <w:uiPriority w:val="99"/>
    <w:semiHidden/>
    <w:unhideWhenUsed/>
    <w:rsid w:val="007F02C7"/>
    <w:rPr>
      <w:sz w:val="16"/>
      <w:szCs w:val="16"/>
    </w:rPr>
  </w:style>
  <w:style w:type="paragraph" w:styleId="CommentText">
    <w:name w:val="annotation text"/>
    <w:basedOn w:val="Normal"/>
    <w:link w:val="CommentTextChar"/>
    <w:uiPriority w:val="99"/>
    <w:semiHidden/>
    <w:unhideWhenUsed/>
    <w:rsid w:val="007F02C7"/>
    <w:rPr>
      <w:sz w:val="20"/>
      <w:szCs w:val="20"/>
    </w:rPr>
  </w:style>
  <w:style w:type="character" w:customStyle="1" w:styleId="CommentTextChar">
    <w:name w:val="Comment Text Char"/>
    <w:basedOn w:val="DefaultParagraphFont"/>
    <w:link w:val="CommentText"/>
    <w:uiPriority w:val="99"/>
    <w:semiHidden/>
    <w:rsid w:val="007F02C7"/>
    <w:rPr>
      <w:sz w:val="20"/>
      <w:szCs w:val="20"/>
    </w:rPr>
  </w:style>
  <w:style w:type="paragraph" w:styleId="CommentSubject">
    <w:name w:val="annotation subject"/>
    <w:basedOn w:val="CommentText"/>
    <w:next w:val="CommentText"/>
    <w:link w:val="CommentSubjectChar"/>
    <w:uiPriority w:val="99"/>
    <w:semiHidden/>
    <w:unhideWhenUsed/>
    <w:rsid w:val="007F02C7"/>
    <w:rPr>
      <w:b/>
      <w:bCs/>
    </w:rPr>
  </w:style>
  <w:style w:type="character" w:customStyle="1" w:styleId="CommentSubjectChar">
    <w:name w:val="Comment Subject Char"/>
    <w:basedOn w:val="CommentTextChar"/>
    <w:link w:val="CommentSubject"/>
    <w:uiPriority w:val="99"/>
    <w:semiHidden/>
    <w:rsid w:val="007F02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C7"/>
    <w:rPr>
      <w:rFonts w:ascii="Tahoma" w:hAnsi="Tahoma" w:cs="Tahoma"/>
      <w:sz w:val="16"/>
      <w:szCs w:val="16"/>
    </w:rPr>
  </w:style>
  <w:style w:type="character" w:customStyle="1" w:styleId="BalloonTextChar">
    <w:name w:val="Balloon Text Char"/>
    <w:basedOn w:val="DefaultParagraphFont"/>
    <w:link w:val="BalloonText"/>
    <w:uiPriority w:val="99"/>
    <w:semiHidden/>
    <w:rsid w:val="007F02C7"/>
    <w:rPr>
      <w:rFonts w:ascii="Tahoma" w:hAnsi="Tahoma" w:cs="Tahoma"/>
      <w:sz w:val="16"/>
      <w:szCs w:val="16"/>
    </w:rPr>
  </w:style>
  <w:style w:type="character" w:styleId="CommentReference">
    <w:name w:val="annotation reference"/>
    <w:basedOn w:val="DefaultParagraphFont"/>
    <w:uiPriority w:val="99"/>
    <w:semiHidden/>
    <w:unhideWhenUsed/>
    <w:rsid w:val="007F02C7"/>
    <w:rPr>
      <w:sz w:val="16"/>
      <w:szCs w:val="16"/>
    </w:rPr>
  </w:style>
  <w:style w:type="paragraph" w:styleId="CommentText">
    <w:name w:val="annotation text"/>
    <w:basedOn w:val="Normal"/>
    <w:link w:val="CommentTextChar"/>
    <w:uiPriority w:val="99"/>
    <w:semiHidden/>
    <w:unhideWhenUsed/>
    <w:rsid w:val="007F02C7"/>
    <w:rPr>
      <w:sz w:val="20"/>
      <w:szCs w:val="20"/>
    </w:rPr>
  </w:style>
  <w:style w:type="character" w:customStyle="1" w:styleId="CommentTextChar">
    <w:name w:val="Comment Text Char"/>
    <w:basedOn w:val="DefaultParagraphFont"/>
    <w:link w:val="CommentText"/>
    <w:uiPriority w:val="99"/>
    <w:semiHidden/>
    <w:rsid w:val="007F02C7"/>
    <w:rPr>
      <w:sz w:val="20"/>
      <w:szCs w:val="20"/>
    </w:rPr>
  </w:style>
  <w:style w:type="paragraph" w:styleId="CommentSubject">
    <w:name w:val="annotation subject"/>
    <w:basedOn w:val="CommentText"/>
    <w:next w:val="CommentText"/>
    <w:link w:val="CommentSubjectChar"/>
    <w:uiPriority w:val="99"/>
    <w:semiHidden/>
    <w:unhideWhenUsed/>
    <w:rsid w:val="007F02C7"/>
    <w:rPr>
      <w:b/>
      <w:bCs/>
    </w:rPr>
  </w:style>
  <w:style w:type="character" w:customStyle="1" w:styleId="CommentSubjectChar">
    <w:name w:val="Comment Subject Char"/>
    <w:basedOn w:val="CommentTextChar"/>
    <w:link w:val="CommentSubject"/>
    <w:uiPriority w:val="99"/>
    <w:semiHidden/>
    <w:rsid w:val="007F0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ois-laws.justice.gc.ca" TargetMode="Externa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http://laws-lois.justice.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Katsimardou-Miariti Aikaterini</cp:lastModifiedBy>
  <cp:revision>2</cp:revision>
  <cp:lastPrinted>2014-08-22T09:42:00Z</cp:lastPrinted>
  <dcterms:created xsi:type="dcterms:W3CDTF">2014-08-22T09:43:00Z</dcterms:created>
  <dcterms:modified xsi:type="dcterms:W3CDTF">2014-08-22T09:43:00Z</dcterms:modified>
</cp:coreProperties>
</file>