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DE" w:rsidRPr="00C322DE" w:rsidRDefault="00C322DE" w:rsidP="00C322DE">
      <w:pPr>
        <w:spacing w:before="480" w:after="0" w:line="240" w:lineRule="auto"/>
        <w:jc w:val="center"/>
        <w:rPr>
          <w:rFonts w:ascii="Verdana" w:eastAsia="Times New Roman" w:hAnsi="Verdana" w:cs="Times New Roman"/>
          <w:b/>
          <w:bCs/>
          <w:color w:val="000000"/>
          <w:sz w:val="18"/>
          <w:szCs w:val="18"/>
          <w:lang w:eastAsia="en-GB"/>
        </w:rPr>
      </w:pPr>
      <w:r w:rsidRPr="00C322DE">
        <w:rPr>
          <w:rFonts w:ascii="Verdana" w:eastAsia="Times New Roman" w:hAnsi="Verdana" w:cs="Times New Roman"/>
          <w:b/>
          <w:bCs/>
          <w:color w:val="000000"/>
          <w:sz w:val="18"/>
          <w:szCs w:val="18"/>
          <w:lang w:eastAsia="en-GB"/>
        </w:rPr>
        <w:t>ACT</w:t>
      </w:r>
    </w:p>
    <w:p w:rsidR="00C322DE" w:rsidRPr="00C322DE" w:rsidRDefault="00C322DE" w:rsidP="00C322DE">
      <w:pPr>
        <w:spacing w:before="240" w:after="0" w:line="240" w:lineRule="auto"/>
        <w:jc w:val="center"/>
        <w:rPr>
          <w:rFonts w:ascii="Verdana" w:eastAsia="Times New Roman" w:hAnsi="Verdana" w:cs="Times New Roman"/>
          <w:color w:val="000000"/>
          <w:sz w:val="18"/>
          <w:szCs w:val="18"/>
          <w:lang w:eastAsia="en-GB"/>
        </w:rPr>
      </w:pPr>
      <w:r w:rsidRPr="00C322DE">
        <w:rPr>
          <w:rFonts w:ascii="Verdana" w:eastAsia="Times New Roman" w:hAnsi="Verdana" w:cs="Times New Roman"/>
          <w:color w:val="000000"/>
          <w:sz w:val="18"/>
          <w:szCs w:val="18"/>
          <w:lang w:eastAsia="en-GB"/>
        </w:rPr>
        <w:t>Act No. 37 of 1972</w:t>
      </w:r>
    </w:p>
    <w:p w:rsidR="00C322DE" w:rsidRPr="00C322DE" w:rsidRDefault="00C322DE" w:rsidP="00C322DE">
      <w:pPr>
        <w:spacing w:before="480" w:after="0" w:line="240" w:lineRule="auto"/>
        <w:jc w:val="center"/>
        <w:rPr>
          <w:rFonts w:ascii="Verdana" w:eastAsia="Times New Roman" w:hAnsi="Verdana" w:cs="Times New Roman"/>
          <w:caps/>
          <w:color w:val="000000"/>
          <w:sz w:val="18"/>
          <w:szCs w:val="18"/>
          <w:lang w:eastAsia="en-GB"/>
        </w:rPr>
      </w:pPr>
      <w:r w:rsidRPr="00C322DE">
        <w:rPr>
          <w:rFonts w:ascii="Verdana" w:eastAsia="Times New Roman" w:hAnsi="Verdana" w:cs="Times New Roman"/>
          <w:caps/>
          <w:color w:val="000000"/>
          <w:sz w:val="18"/>
          <w:szCs w:val="18"/>
          <w:lang w:eastAsia="en-GB"/>
        </w:rPr>
        <w:t>ARRANGEMENT OF SECTIONS</w:t>
      </w:r>
    </w:p>
    <w:tbl>
      <w:tblPr>
        <w:tblW w:w="7937" w:type="dxa"/>
        <w:tblCellMar>
          <w:left w:w="0" w:type="dxa"/>
          <w:right w:w="0" w:type="dxa"/>
        </w:tblCellMar>
        <w:tblLook w:val="04A0" w:firstRow="1" w:lastRow="0" w:firstColumn="1" w:lastColumn="0" w:noHBand="0" w:noVBand="1"/>
      </w:tblPr>
      <w:tblGrid>
        <w:gridCol w:w="850"/>
        <w:gridCol w:w="7087"/>
      </w:tblGrid>
      <w:tr w:rsidR="00C322DE" w:rsidRPr="00C322DE" w:rsidTr="00C322DE">
        <w:tc>
          <w:tcPr>
            <w:tcW w:w="850" w:type="dxa"/>
            <w:vAlign w:val="center"/>
            <w:hideMark/>
          </w:tcPr>
          <w:p w:rsidR="00C322DE" w:rsidRPr="00C322DE" w:rsidRDefault="00C322DE" w:rsidP="00C322DE">
            <w:pPr>
              <w:spacing w:after="0" w:line="240" w:lineRule="auto"/>
              <w:rPr>
                <w:rFonts w:ascii="Times New Roman" w:eastAsia="Times New Roman" w:hAnsi="Times New Roman" w:cs="Times New Roman"/>
                <w:color w:val="000000"/>
                <w:sz w:val="2"/>
                <w:szCs w:val="2"/>
                <w:lang w:eastAsia="en-GB"/>
              </w:rPr>
            </w:pPr>
            <w:r w:rsidRPr="00C322DE">
              <w:rPr>
                <w:rFonts w:ascii="Times New Roman" w:eastAsia="Times New Roman" w:hAnsi="Times New Roman" w:cs="Times New Roman"/>
                <w:color w:val="000000"/>
                <w:sz w:val="2"/>
                <w:szCs w:val="2"/>
                <w:lang w:eastAsia="en-GB"/>
              </w:rPr>
              <w:t> </w:t>
            </w:r>
          </w:p>
        </w:tc>
        <w:tc>
          <w:tcPr>
            <w:tcW w:w="7087" w:type="dxa"/>
            <w:vAlign w:val="center"/>
            <w:hideMark/>
          </w:tcPr>
          <w:p w:rsidR="00C322DE" w:rsidRPr="00C322DE" w:rsidRDefault="00C322DE" w:rsidP="00C322DE">
            <w:pPr>
              <w:spacing w:after="0" w:line="240" w:lineRule="auto"/>
              <w:rPr>
                <w:rFonts w:ascii="Times New Roman" w:eastAsia="Times New Roman" w:hAnsi="Times New Roman" w:cs="Times New Roman"/>
                <w:color w:val="000000"/>
                <w:sz w:val="27"/>
                <w:szCs w:val="27"/>
                <w:lang w:eastAsia="en-GB"/>
              </w:rPr>
            </w:pPr>
          </w:p>
        </w:tc>
      </w:tr>
      <w:tr w:rsidR="00C322DE" w:rsidRPr="00C322DE" w:rsidTr="00C322DE">
        <w:tc>
          <w:tcPr>
            <w:tcW w:w="0" w:type="auto"/>
            <w:vAlign w:val="center"/>
            <w:hideMark/>
          </w:tcPr>
          <w:p w:rsidR="00C322DE" w:rsidRPr="00C322DE" w:rsidRDefault="00C322DE" w:rsidP="00C322DE">
            <w:pPr>
              <w:spacing w:after="0" w:line="240" w:lineRule="auto"/>
              <w:jc w:val="both"/>
              <w:rPr>
                <w:rFonts w:ascii="Verdana" w:eastAsia="Times New Roman" w:hAnsi="Verdana" w:cs="Times New Roman"/>
                <w:color w:val="000000"/>
                <w:sz w:val="18"/>
                <w:szCs w:val="18"/>
                <w:lang w:eastAsia="en-GB"/>
              </w:rPr>
            </w:pPr>
            <w:hyperlink r:id="rId5" w:anchor="0" w:history="1">
              <w:r w:rsidRPr="00C322DE">
                <w:rPr>
                  <w:rFonts w:ascii="Verdana" w:eastAsia="Times New Roman" w:hAnsi="Verdana" w:cs="Times New Roman"/>
                  <w:color w:val="1B2F59"/>
                  <w:sz w:val="18"/>
                  <w:szCs w:val="18"/>
                  <w:u w:val="single"/>
                  <w:lang w:eastAsia="en-GB"/>
                </w:rPr>
                <w:t>1</w:t>
              </w:r>
            </w:hyperlink>
            <w:r w:rsidRPr="00C322DE">
              <w:rPr>
                <w:rFonts w:ascii="Verdana" w:eastAsia="Times New Roman" w:hAnsi="Verdana" w:cs="Times New Roman"/>
                <w:color w:val="000000"/>
                <w:sz w:val="18"/>
                <w:szCs w:val="18"/>
                <w:lang w:eastAsia="en-GB"/>
              </w:rPr>
              <w:t>.</w:t>
            </w:r>
          </w:p>
        </w:tc>
        <w:tc>
          <w:tcPr>
            <w:tcW w:w="0" w:type="auto"/>
            <w:vAlign w:val="center"/>
            <w:hideMark/>
          </w:tcPr>
          <w:p w:rsidR="00C322DE" w:rsidRPr="00C322DE" w:rsidRDefault="00C322DE" w:rsidP="00C322DE">
            <w:pPr>
              <w:spacing w:after="0" w:line="240" w:lineRule="auto"/>
              <w:rPr>
                <w:rFonts w:ascii="Verdana" w:eastAsia="Times New Roman" w:hAnsi="Verdana" w:cs="Times New Roman"/>
                <w:color w:val="000000"/>
                <w:sz w:val="18"/>
                <w:szCs w:val="18"/>
                <w:lang w:eastAsia="en-GB"/>
              </w:rPr>
            </w:pPr>
            <w:r w:rsidRPr="00C322DE">
              <w:rPr>
                <w:rFonts w:ascii="Verdana" w:eastAsia="Times New Roman" w:hAnsi="Verdana" w:cs="Times New Roman"/>
                <w:color w:val="000000"/>
                <w:sz w:val="18"/>
                <w:szCs w:val="18"/>
                <w:lang w:eastAsia="en-GB"/>
              </w:rPr>
              <w:t>Short title.</w:t>
            </w:r>
          </w:p>
        </w:tc>
      </w:tr>
      <w:tr w:rsidR="00C322DE" w:rsidRPr="00C322DE" w:rsidTr="00C322DE">
        <w:tc>
          <w:tcPr>
            <w:tcW w:w="0" w:type="auto"/>
            <w:vAlign w:val="center"/>
            <w:hideMark/>
          </w:tcPr>
          <w:p w:rsidR="00C322DE" w:rsidRPr="00C322DE" w:rsidRDefault="00C322DE" w:rsidP="00C322DE">
            <w:pPr>
              <w:spacing w:after="0" w:line="240" w:lineRule="auto"/>
              <w:jc w:val="both"/>
              <w:rPr>
                <w:rFonts w:ascii="Verdana" w:eastAsia="Times New Roman" w:hAnsi="Verdana" w:cs="Times New Roman"/>
                <w:color w:val="000000"/>
                <w:sz w:val="18"/>
                <w:szCs w:val="18"/>
                <w:lang w:eastAsia="en-GB"/>
              </w:rPr>
            </w:pPr>
            <w:hyperlink r:id="rId6" w:anchor="2" w:history="1">
              <w:r w:rsidRPr="00C322DE">
                <w:rPr>
                  <w:rFonts w:ascii="Verdana" w:eastAsia="Times New Roman" w:hAnsi="Verdana" w:cs="Times New Roman"/>
                  <w:color w:val="1B2F59"/>
                  <w:sz w:val="18"/>
                  <w:szCs w:val="18"/>
                  <w:u w:val="single"/>
                  <w:lang w:eastAsia="en-GB"/>
                </w:rPr>
                <w:t>2</w:t>
              </w:r>
            </w:hyperlink>
            <w:r w:rsidRPr="00C322DE">
              <w:rPr>
                <w:rFonts w:ascii="Verdana" w:eastAsia="Times New Roman" w:hAnsi="Verdana" w:cs="Times New Roman"/>
                <w:color w:val="000000"/>
                <w:sz w:val="18"/>
                <w:szCs w:val="18"/>
                <w:lang w:eastAsia="en-GB"/>
              </w:rPr>
              <w:t>.</w:t>
            </w:r>
          </w:p>
        </w:tc>
        <w:tc>
          <w:tcPr>
            <w:tcW w:w="0" w:type="auto"/>
            <w:vAlign w:val="center"/>
            <w:hideMark/>
          </w:tcPr>
          <w:p w:rsidR="00C322DE" w:rsidRPr="00C322DE" w:rsidRDefault="00C322DE" w:rsidP="00C322DE">
            <w:pPr>
              <w:spacing w:after="0" w:line="240" w:lineRule="auto"/>
              <w:rPr>
                <w:rFonts w:ascii="Verdana" w:eastAsia="Times New Roman" w:hAnsi="Verdana" w:cs="Times New Roman"/>
                <w:color w:val="000000"/>
                <w:sz w:val="18"/>
                <w:szCs w:val="18"/>
                <w:lang w:eastAsia="en-GB"/>
              </w:rPr>
            </w:pPr>
            <w:r w:rsidRPr="00C322DE">
              <w:rPr>
                <w:rFonts w:ascii="Verdana" w:eastAsia="Times New Roman" w:hAnsi="Verdana" w:cs="Times New Roman"/>
                <w:color w:val="000000"/>
                <w:sz w:val="18"/>
                <w:szCs w:val="18"/>
                <w:lang w:eastAsia="en-GB"/>
              </w:rPr>
              <w:t>Offence of genocide.</w:t>
            </w:r>
          </w:p>
        </w:tc>
      </w:tr>
      <w:tr w:rsidR="00C322DE" w:rsidRPr="00C322DE" w:rsidTr="00C322DE">
        <w:tc>
          <w:tcPr>
            <w:tcW w:w="0" w:type="auto"/>
            <w:vAlign w:val="center"/>
            <w:hideMark/>
          </w:tcPr>
          <w:p w:rsidR="00C322DE" w:rsidRPr="00C322DE" w:rsidRDefault="00C322DE" w:rsidP="00C322DE">
            <w:pPr>
              <w:spacing w:after="0" w:line="240" w:lineRule="auto"/>
              <w:jc w:val="both"/>
              <w:rPr>
                <w:rFonts w:ascii="Verdana" w:eastAsia="Times New Roman" w:hAnsi="Verdana" w:cs="Times New Roman"/>
                <w:color w:val="000000"/>
                <w:sz w:val="18"/>
                <w:szCs w:val="18"/>
                <w:lang w:eastAsia="en-GB"/>
              </w:rPr>
            </w:pPr>
            <w:hyperlink r:id="rId7" w:anchor="a" w:history="1">
              <w:r w:rsidRPr="00C322DE">
                <w:rPr>
                  <w:rFonts w:ascii="Verdana" w:eastAsia="Times New Roman" w:hAnsi="Verdana" w:cs="Times New Roman"/>
                  <w:color w:val="1B2F59"/>
                  <w:sz w:val="18"/>
                  <w:szCs w:val="18"/>
                  <w:u w:val="single"/>
                  <w:lang w:eastAsia="en-GB"/>
                </w:rPr>
                <w:t>3</w:t>
              </w:r>
            </w:hyperlink>
            <w:r w:rsidRPr="00C322DE">
              <w:rPr>
                <w:rFonts w:ascii="Verdana" w:eastAsia="Times New Roman" w:hAnsi="Verdana" w:cs="Times New Roman"/>
                <w:color w:val="000000"/>
                <w:sz w:val="18"/>
                <w:szCs w:val="18"/>
                <w:lang w:eastAsia="en-GB"/>
              </w:rPr>
              <w:t>.</w:t>
            </w:r>
          </w:p>
        </w:tc>
        <w:tc>
          <w:tcPr>
            <w:tcW w:w="0" w:type="auto"/>
            <w:vAlign w:val="center"/>
            <w:hideMark/>
          </w:tcPr>
          <w:p w:rsidR="00C322DE" w:rsidRPr="00C322DE" w:rsidRDefault="00C322DE" w:rsidP="00C322DE">
            <w:pPr>
              <w:spacing w:after="0" w:line="240" w:lineRule="auto"/>
              <w:rPr>
                <w:rFonts w:ascii="Verdana" w:eastAsia="Times New Roman" w:hAnsi="Verdana" w:cs="Times New Roman"/>
                <w:color w:val="000000"/>
                <w:sz w:val="18"/>
                <w:szCs w:val="18"/>
                <w:lang w:eastAsia="en-GB"/>
              </w:rPr>
            </w:pPr>
            <w:r w:rsidRPr="00C322DE">
              <w:rPr>
                <w:rFonts w:ascii="Verdana" w:eastAsia="Times New Roman" w:hAnsi="Verdana" w:cs="Times New Roman"/>
                <w:color w:val="000000"/>
                <w:sz w:val="18"/>
                <w:szCs w:val="18"/>
                <w:lang w:eastAsia="en-GB"/>
              </w:rPr>
              <w:t>Punishment.</w:t>
            </w:r>
          </w:p>
        </w:tc>
      </w:tr>
      <w:tr w:rsidR="00C322DE" w:rsidRPr="00C322DE" w:rsidTr="00C322DE">
        <w:tc>
          <w:tcPr>
            <w:tcW w:w="0" w:type="auto"/>
            <w:vAlign w:val="center"/>
            <w:hideMark/>
          </w:tcPr>
          <w:p w:rsidR="00C322DE" w:rsidRPr="00C322DE" w:rsidRDefault="00C322DE" w:rsidP="00C322DE">
            <w:pPr>
              <w:spacing w:after="0" w:line="240" w:lineRule="auto"/>
              <w:jc w:val="both"/>
              <w:rPr>
                <w:rFonts w:ascii="Verdana" w:eastAsia="Times New Roman" w:hAnsi="Verdana" w:cs="Times New Roman"/>
                <w:color w:val="000000"/>
                <w:sz w:val="18"/>
                <w:szCs w:val="18"/>
                <w:lang w:eastAsia="en-GB"/>
              </w:rPr>
            </w:pPr>
            <w:hyperlink r:id="rId8" w:anchor="d" w:history="1">
              <w:r w:rsidRPr="00C322DE">
                <w:rPr>
                  <w:rFonts w:ascii="Verdana" w:eastAsia="Times New Roman" w:hAnsi="Verdana" w:cs="Times New Roman"/>
                  <w:color w:val="1B2F59"/>
                  <w:sz w:val="18"/>
                  <w:szCs w:val="18"/>
                  <w:u w:val="single"/>
                  <w:lang w:eastAsia="en-GB"/>
                </w:rPr>
                <w:t>4</w:t>
              </w:r>
            </w:hyperlink>
            <w:r w:rsidRPr="00C322DE">
              <w:rPr>
                <w:rFonts w:ascii="Verdana" w:eastAsia="Times New Roman" w:hAnsi="Verdana" w:cs="Times New Roman"/>
                <w:color w:val="000000"/>
                <w:sz w:val="18"/>
                <w:szCs w:val="18"/>
                <w:lang w:eastAsia="en-GB"/>
              </w:rPr>
              <w:t>.</w:t>
            </w:r>
          </w:p>
        </w:tc>
        <w:tc>
          <w:tcPr>
            <w:tcW w:w="0" w:type="auto"/>
            <w:vAlign w:val="center"/>
            <w:hideMark/>
          </w:tcPr>
          <w:p w:rsidR="00C322DE" w:rsidRPr="00C322DE" w:rsidRDefault="00C322DE" w:rsidP="00C322DE">
            <w:pPr>
              <w:spacing w:after="0" w:line="240" w:lineRule="auto"/>
              <w:rPr>
                <w:rFonts w:ascii="Verdana" w:eastAsia="Times New Roman" w:hAnsi="Verdana" w:cs="Times New Roman"/>
                <w:color w:val="000000"/>
                <w:sz w:val="18"/>
                <w:szCs w:val="18"/>
                <w:lang w:eastAsia="en-GB"/>
              </w:rPr>
            </w:pPr>
            <w:r w:rsidRPr="00C322DE">
              <w:rPr>
                <w:rFonts w:ascii="Verdana" w:eastAsia="Times New Roman" w:hAnsi="Verdana" w:cs="Times New Roman"/>
                <w:color w:val="000000"/>
                <w:sz w:val="18"/>
                <w:szCs w:val="18"/>
                <w:lang w:eastAsia="en-GB"/>
              </w:rPr>
              <w:t>Extradition and related matters.</w:t>
            </w:r>
          </w:p>
        </w:tc>
      </w:tr>
    </w:tbl>
    <w:p w:rsidR="00C322DE" w:rsidRPr="00C322DE" w:rsidRDefault="00C322DE" w:rsidP="00C322DE">
      <w:pPr>
        <w:pBdr>
          <w:top w:val="single" w:sz="6" w:space="0" w:color="000000"/>
        </w:pBdr>
        <w:spacing w:before="360" w:after="0" w:line="140" w:lineRule="atLeast"/>
        <w:ind w:left="2552" w:right="2552"/>
        <w:jc w:val="both"/>
        <w:rPr>
          <w:rFonts w:ascii="Verdana" w:eastAsia="Times New Roman" w:hAnsi="Verdana" w:cs="Times New Roman"/>
          <w:color w:val="000000"/>
          <w:sz w:val="12"/>
          <w:szCs w:val="12"/>
          <w:lang w:eastAsia="en-GB"/>
        </w:rPr>
      </w:pPr>
      <w:r w:rsidRPr="00C322DE">
        <w:rPr>
          <w:rFonts w:ascii="Verdana" w:eastAsia="Times New Roman" w:hAnsi="Verdana" w:cs="Times New Roman"/>
          <w:color w:val="000000"/>
          <w:sz w:val="12"/>
          <w:szCs w:val="12"/>
          <w:lang w:eastAsia="en-GB"/>
        </w:rPr>
        <w:t> </w:t>
      </w:r>
    </w:p>
    <w:p w:rsidR="00C322DE" w:rsidRPr="00C322DE" w:rsidRDefault="00C322DE" w:rsidP="00C322DE">
      <w:pPr>
        <w:spacing w:before="360" w:after="0" w:line="240" w:lineRule="auto"/>
        <w:jc w:val="center"/>
        <w:rPr>
          <w:rFonts w:ascii="Verdana" w:eastAsia="Times New Roman" w:hAnsi="Verdana" w:cs="Times New Roman"/>
          <w:b/>
          <w:bCs/>
          <w:color w:val="000000"/>
          <w:sz w:val="18"/>
          <w:szCs w:val="18"/>
          <w:lang w:eastAsia="en-GB"/>
        </w:rPr>
      </w:pPr>
      <w:r w:rsidRPr="00C322DE">
        <w:rPr>
          <w:rFonts w:ascii="Verdana" w:eastAsia="Times New Roman" w:hAnsi="Verdana" w:cs="Times New Roman"/>
          <w:b/>
          <w:bCs/>
          <w:color w:val="000000"/>
          <w:sz w:val="18"/>
          <w:szCs w:val="18"/>
          <w:lang w:eastAsia="en-GB"/>
        </w:rPr>
        <w:t>CHAPTER 122</w:t>
      </w:r>
      <w:r w:rsidRPr="00C322DE">
        <w:rPr>
          <w:rFonts w:ascii="Verdana" w:eastAsia="Times New Roman" w:hAnsi="Verdana" w:cs="Times New Roman"/>
          <w:b/>
          <w:bCs/>
          <w:color w:val="000000"/>
          <w:sz w:val="18"/>
          <w:szCs w:val="18"/>
          <w:lang w:eastAsia="en-GB"/>
        </w:rPr>
        <w:br/>
        <w:t>GENOCIDE ACT</w:t>
      </w:r>
    </w:p>
    <w:p w:rsidR="00C322DE" w:rsidRPr="00C322DE" w:rsidRDefault="00C322DE" w:rsidP="00C322DE">
      <w:pPr>
        <w:spacing w:before="180" w:after="0" w:line="240" w:lineRule="auto"/>
        <w:ind w:left="284" w:hanging="284"/>
        <w:jc w:val="both"/>
        <w:rPr>
          <w:rFonts w:ascii="Verdana" w:eastAsia="Times New Roman" w:hAnsi="Verdana" w:cs="Times New Roman"/>
          <w:b/>
          <w:bCs/>
          <w:color w:val="000000"/>
          <w:sz w:val="18"/>
          <w:szCs w:val="18"/>
          <w:lang w:eastAsia="en-GB"/>
        </w:rPr>
      </w:pPr>
      <w:r w:rsidRPr="00C322DE">
        <w:rPr>
          <w:rFonts w:ascii="Verdana" w:eastAsia="Times New Roman" w:hAnsi="Verdana" w:cs="Times New Roman"/>
          <w:b/>
          <w:bCs/>
          <w:color w:val="000000"/>
          <w:sz w:val="18"/>
          <w:szCs w:val="18"/>
          <w:lang w:eastAsia="en-GB"/>
        </w:rPr>
        <w:t>An Act to give effect to the convention approved by the General Assembly of the United Nations on 9th December, 1948, concerning the prevention and punishment of the crime of genocide.</w:t>
      </w:r>
    </w:p>
    <w:p w:rsidR="00C322DE" w:rsidRPr="00C322DE" w:rsidRDefault="00C322DE" w:rsidP="00C322DE">
      <w:pPr>
        <w:spacing w:before="60" w:after="0" w:line="240" w:lineRule="auto"/>
        <w:jc w:val="center"/>
        <w:rPr>
          <w:rFonts w:ascii="Verdana" w:eastAsia="Times New Roman" w:hAnsi="Verdana" w:cs="Times New Roman"/>
          <w:color w:val="000000"/>
          <w:sz w:val="16"/>
          <w:szCs w:val="16"/>
          <w:lang w:eastAsia="en-GB"/>
        </w:rPr>
      </w:pPr>
      <w:r w:rsidRPr="00C322DE">
        <w:rPr>
          <w:rFonts w:ascii="Verdana" w:eastAsia="Times New Roman" w:hAnsi="Verdana" w:cs="Times New Roman"/>
          <w:color w:val="000000"/>
          <w:sz w:val="16"/>
          <w:szCs w:val="16"/>
          <w:lang w:eastAsia="en-GB"/>
        </w:rPr>
        <w:t>[</w:t>
      </w:r>
      <w:hyperlink r:id="rId9" w:anchor="1" w:history="1">
        <w:r w:rsidRPr="00C322DE">
          <w:rPr>
            <w:rFonts w:ascii="Verdana" w:eastAsia="Times New Roman" w:hAnsi="Verdana" w:cs="Times New Roman"/>
            <w:color w:val="1B2F59"/>
            <w:sz w:val="16"/>
            <w:szCs w:val="16"/>
            <w:u w:val="single"/>
            <w:lang w:eastAsia="en-GB"/>
          </w:rPr>
          <w:t>Act No. 37 of 1972</w:t>
        </w:r>
      </w:hyperlink>
      <w:r w:rsidRPr="00C322DE">
        <w:rPr>
          <w:rFonts w:ascii="Verdana" w:eastAsia="Times New Roman" w:hAnsi="Verdana" w:cs="Times New Roman"/>
          <w:color w:val="000000"/>
          <w:sz w:val="16"/>
          <w:szCs w:val="16"/>
          <w:lang w:eastAsia="en-GB"/>
        </w:rPr>
        <w:t>.]</w:t>
      </w:r>
    </w:p>
    <w:p w:rsidR="00C322DE" w:rsidRPr="00C322DE" w:rsidRDefault="00C322DE" w:rsidP="00C322DE">
      <w:pPr>
        <w:spacing w:before="180" w:after="0" w:line="240" w:lineRule="auto"/>
        <w:jc w:val="center"/>
        <w:rPr>
          <w:rFonts w:ascii="Verdana" w:eastAsia="Times New Roman" w:hAnsi="Verdana" w:cs="Times New Roman"/>
          <w:color w:val="000000"/>
          <w:sz w:val="18"/>
          <w:szCs w:val="18"/>
          <w:lang w:eastAsia="en-GB"/>
        </w:rPr>
      </w:pPr>
      <w:r w:rsidRPr="00C322DE">
        <w:rPr>
          <w:rFonts w:ascii="Verdana" w:eastAsia="Times New Roman" w:hAnsi="Verdana" w:cs="Times New Roman"/>
          <w:color w:val="000000"/>
          <w:sz w:val="18"/>
          <w:szCs w:val="18"/>
          <w:lang w:eastAsia="en-GB"/>
        </w:rPr>
        <w:t>[25</w:t>
      </w:r>
      <w:r w:rsidRPr="00C322DE">
        <w:rPr>
          <w:rFonts w:ascii="Verdana" w:eastAsia="Times New Roman" w:hAnsi="Verdana" w:cs="Times New Roman"/>
          <w:i/>
          <w:iCs/>
          <w:color w:val="000000"/>
          <w:sz w:val="18"/>
          <w:szCs w:val="18"/>
          <w:lang w:eastAsia="en-GB"/>
        </w:rPr>
        <w:t>th November</w:t>
      </w:r>
      <w:r w:rsidRPr="00C322DE">
        <w:rPr>
          <w:rFonts w:ascii="Verdana" w:eastAsia="Times New Roman" w:hAnsi="Verdana" w:cs="Times New Roman"/>
          <w:color w:val="000000"/>
          <w:sz w:val="18"/>
          <w:szCs w:val="18"/>
          <w:lang w:eastAsia="en-GB"/>
        </w:rPr>
        <w:t>, 1972.]</w:t>
      </w:r>
    </w:p>
    <w:p w:rsidR="00C322DE" w:rsidRDefault="00C322DE" w:rsidP="00C322DE">
      <w:pPr>
        <w:pStyle w:val="section"/>
        <w:spacing w:before="360" w:beforeAutospacing="0" w:after="0" w:afterAutospacing="0"/>
        <w:jc w:val="both"/>
        <w:rPr>
          <w:rFonts w:ascii="Verdana" w:hAnsi="Verdana"/>
          <w:b/>
          <w:bCs/>
          <w:color w:val="000000"/>
          <w:sz w:val="18"/>
          <w:szCs w:val="18"/>
        </w:rPr>
      </w:pPr>
      <w:r>
        <w:rPr>
          <w:rFonts w:ascii="Verdana" w:hAnsi="Verdana"/>
          <w:b/>
          <w:bCs/>
          <w:color w:val="000000"/>
          <w:sz w:val="18"/>
          <w:szCs w:val="18"/>
        </w:rPr>
        <w:t>1.   Short title</w:t>
      </w:r>
    </w:p>
    <w:p w:rsidR="00C322DE" w:rsidRDefault="00C322DE" w:rsidP="00C322DE">
      <w:pPr>
        <w:pStyle w:val="subsection"/>
        <w:spacing w:before="180" w:beforeAutospacing="0" w:after="0" w:afterAutospacing="0"/>
        <w:ind w:firstLine="284"/>
        <w:jc w:val="both"/>
        <w:rPr>
          <w:rFonts w:ascii="Verdana" w:hAnsi="Verdana"/>
          <w:color w:val="000000"/>
          <w:sz w:val="18"/>
          <w:szCs w:val="18"/>
        </w:rPr>
      </w:pPr>
      <w:r>
        <w:rPr>
          <w:rFonts w:ascii="Verdana" w:hAnsi="Verdana"/>
          <w:color w:val="000000"/>
          <w:sz w:val="18"/>
          <w:szCs w:val="18"/>
        </w:rPr>
        <w:t>This Act may be cited as the</w:t>
      </w:r>
      <w:r>
        <w:rPr>
          <w:rStyle w:val="apple-converted-space"/>
          <w:rFonts w:ascii="Verdana" w:hAnsi="Verdana"/>
          <w:color w:val="000000"/>
          <w:sz w:val="18"/>
          <w:szCs w:val="18"/>
        </w:rPr>
        <w:t> </w:t>
      </w:r>
      <w:hyperlink r:id="rId10" w:anchor="0" w:history="1">
        <w:r>
          <w:rPr>
            <w:rStyle w:val="Hyperlink"/>
            <w:rFonts w:ascii="Verdana" w:hAnsi="Verdana"/>
            <w:color w:val="1B2F59"/>
            <w:sz w:val="18"/>
            <w:szCs w:val="18"/>
          </w:rPr>
          <w:t>Genocide Act</w:t>
        </w:r>
      </w:hyperlink>
      <w:r>
        <w:rPr>
          <w:rFonts w:ascii="Verdana" w:hAnsi="Verdana"/>
          <w:color w:val="000000"/>
          <w:sz w:val="18"/>
          <w:szCs w:val="18"/>
        </w:rPr>
        <w:t>.</w:t>
      </w:r>
    </w:p>
    <w:p w:rsidR="000B3D40" w:rsidRDefault="00C322DE"/>
    <w:p w:rsidR="00C322DE" w:rsidRDefault="00C322DE" w:rsidP="00C322DE">
      <w:pPr>
        <w:pStyle w:val="section"/>
        <w:spacing w:before="360" w:beforeAutospacing="0" w:after="0" w:afterAutospacing="0"/>
        <w:jc w:val="both"/>
        <w:rPr>
          <w:rFonts w:ascii="Verdana" w:hAnsi="Verdana"/>
          <w:b/>
          <w:bCs/>
          <w:color w:val="000000"/>
          <w:sz w:val="18"/>
          <w:szCs w:val="18"/>
        </w:rPr>
      </w:pPr>
      <w:r>
        <w:rPr>
          <w:rFonts w:ascii="Verdana" w:hAnsi="Verdana"/>
          <w:b/>
          <w:bCs/>
          <w:color w:val="000000"/>
          <w:sz w:val="18"/>
          <w:szCs w:val="18"/>
        </w:rPr>
        <w:t>2.   Offence of genocide</w:t>
      </w:r>
    </w:p>
    <w:p w:rsidR="00C322DE" w:rsidRDefault="00C322DE" w:rsidP="00C322DE">
      <w:pPr>
        <w:pStyle w:val="subsection"/>
        <w:spacing w:before="180" w:beforeAutospacing="0" w:after="0" w:afterAutospacing="0"/>
        <w:ind w:firstLine="284"/>
        <w:jc w:val="both"/>
        <w:rPr>
          <w:rFonts w:ascii="Verdana" w:hAnsi="Verdana"/>
          <w:color w:val="000000"/>
          <w:sz w:val="18"/>
          <w:szCs w:val="18"/>
        </w:rPr>
      </w:pPr>
      <w:r>
        <w:rPr>
          <w:rFonts w:ascii="Verdana" w:hAnsi="Verdana"/>
          <w:color w:val="000000"/>
          <w:sz w:val="18"/>
          <w:szCs w:val="18"/>
        </w:rPr>
        <w:t>(1)  A person commits the offence of genocide who, with intent to destroy, in whole or in part, a national, ethnic, racial or religious group, as such—</w:t>
      </w:r>
    </w:p>
    <w:p w:rsidR="00C322DE" w:rsidRDefault="00C322DE" w:rsidP="00C322DE">
      <w:pPr>
        <w:pStyle w:val="para"/>
        <w:spacing w:before="180" w:beforeAutospacing="0" w:after="0" w:afterAutospacing="0"/>
        <w:ind w:left="1134" w:hanging="567"/>
        <w:jc w:val="both"/>
        <w:rPr>
          <w:rFonts w:ascii="Verdana" w:hAnsi="Verdana"/>
          <w:color w:val="000000"/>
          <w:sz w:val="18"/>
          <w:szCs w:val="18"/>
        </w:rPr>
      </w:pPr>
      <w:r>
        <w:rPr>
          <w:rFonts w:ascii="Verdana" w:hAnsi="Verdana"/>
          <w:color w:val="000000"/>
          <w:sz w:val="18"/>
          <w:szCs w:val="18"/>
        </w:rPr>
        <w:t>(</w:t>
      </w:r>
      <w:r>
        <w:rPr>
          <w:rFonts w:ascii="Verdana" w:hAnsi="Verdana"/>
          <w:i/>
          <w:iCs/>
          <w:color w:val="000000"/>
          <w:sz w:val="18"/>
          <w:szCs w:val="18"/>
        </w:rPr>
        <w:t>a</w:t>
      </w:r>
      <w:r>
        <w:rPr>
          <w:rFonts w:ascii="Verdana" w:hAnsi="Verdana"/>
          <w:color w:val="000000"/>
          <w:sz w:val="18"/>
          <w:szCs w:val="18"/>
        </w:rPr>
        <w:t>)</w:t>
      </w:r>
    </w:p>
    <w:p w:rsidR="00C322DE" w:rsidRDefault="00C322DE" w:rsidP="00C322DE">
      <w:pPr>
        <w:pStyle w:val="para"/>
        <w:spacing w:before="0" w:beforeAutospacing="0" w:after="0" w:afterAutospacing="0"/>
        <w:ind w:left="1134"/>
        <w:jc w:val="both"/>
        <w:rPr>
          <w:rFonts w:ascii="Verdana" w:hAnsi="Verdana"/>
          <w:color w:val="000000"/>
          <w:sz w:val="18"/>
          <w:szCs w:val="18"/>
        </w:rPr>
      </w:pPr>
      <w:proofErr w:type="gramStart"/>
      <w:r>
        <w:rPr>
          <w:rFonts w:ascii="Verdana" w:hAnsi="Verdana"/>
          <w:color w:val="000000"/>
          <w:sz w:val="18"/>
          <w:szCs w:val="18"/>
        </w:rPr>
        <w:t>kills</w:t>
      </w:r>
      <w:proofErr w:type="gramEnd"/>
      <w:r>
        <w:rPr>
          <w:rFonts w:ascii="Verdana" w:hAnsi="Verdana"/>
          <w:color w:val="000000"/>
          <w:sz w:val="18"/>
          <w:szCs w:val="18"/>
        </w:rPr>
        <w:t xml:space="preserve"> members of the group;</w:t>
      </w:r>
    </w:p>
    <w:p w:rsidR="00C322DE" w:rsidRDefault="00C322DE" w:rsidP="00C322DE">
      <w:pPr>
        <w:pStyle w:val="para"/>
        <w:spacing w:before="180" w:beforeAutospacing="0" w:after="0" w:afterAutospacing="0"/>
        <w:ind w:left="1134" w:hanging="567"/>
        <w:jc w:val="both"/>
        <w:rPr>
          <w:rFonts w:ascii="Verdana" w:hAnsi="Verdana"/>
          <w:color w:val="000000"/>
          <w:sz w:val="18"/>
          <w:szCs w:val="18"/>
        </w:rPr>
      </w:pPr>
      <w:r>
        <w:rPr>
          <w:rFonts w:ascii="Verdana" w:hAnsi="Verdana"/>
          <w:color w:val="000000"/>
          <w:sz w:val="18"/>
          <w:szCs w:val="18"/>
        </w:rPr>
        <w:t>(</w:t>
      </w:r>
      <w:r>
        <w:rPr>
          <w:rFonts w:ascii="Verdana" w:hAnsi="Verdana"/>
          <w:i/>
          <w:iCs/>
          <w:color w:val="000000"/>
          <w:sz w:val="18"/>
          <w:szCs w:val="18"/>
        </w:rPr>
        <w:t>b</w:t>
      </w:r>
      <w:r>
        <w:rPr>
          <w:rFonts w:ascii="Verdana" w:hAnsi="Verdana"/>
          <w:color w:val="000000"/>
          <w:sz w:val="18"/>
          <w:szCs w:val="18"/>
        </w:rPr>
        <w:t>)</w:t>
      </w:r>
    </w:p>
    <w:p w:rsidR="00C322DE" w:rsidRDefault="00C322DE" w:rsidP="00C322DE">
      <w:pPr>
        <w:pStyle w:val="para"/>
        <w:spacing w:before="0" w:beforeAutospacing="0" w:after="0" w:afterAutospacing="0"/>
        <w:ind w:left="1134"/>
        <w:jc w:val="both"/>
        <w:rPr>
          <w:rFonts w:ascii="Verdana" w:hAnsi="Verdana"/>
          <w:color w:val="000000"/>
          <w:sz w:val="18"/>
          <w:szCs w:val="18"/>
        </w:rPr>
      </w:pPr>
      <w:proofErr w:type="gramStart"/>
      <w:r>
        <w:rPr>
          <w:rFonts w:ascii="Verdana" w:hAnsi="Verdana"/>
          <w:color w:val="000000"/>
          <w:sz w:val="18"/>
          <w:szCs w:val="18"/>
        </w:rPr>
        <w:t>causes</w:t>
      </w:r>
      <w:proofErr w:type="gramEnd"/>
      <w:r>
        <w:rPr>
          <w:rFonts w:ascii="Verdana" w:hAnsi="Verdana"/>
          <w:color w:val="000000"/>
          <w:sz w:val="18"/>
          <w:szCs w:val="18"/>
        </w:rPr>
        <w:t xml:space="preserve"> serious bodily or mental harm to members of the group;</w:t>
      </w:r>
    </w:p>
    <w:p w:rsidR="00C322DE" w:rsidRDefault="00C322DE" w:rsidP="00C322DE">
      <w:pPr>
        <w:pStyle w:val="para"/>
        <w:spacing w:before="180" w:beforeAutospacing="0" w:after="0" w:afterAutospacing="0"/>
        <w:ind w:left="1134" w:hanging="567"/>
        <w:jc w:val="both"/>
        <w:rPr>
          <w:rFonts w:ascii="Verdana" w:hAnsi="Verdana"/>
          <w:color w:val="000000"/>
          <w:sz w:val="18"/>
          <w:szCs w:val="18"/>
        </w:rPr>
      </w:pPr>
      <w:r>
        <w:rPr>
          <w:rFonts w:ascii="Verdana" w:hAnsi="Verdana"/>
          <w:color w:val="000000"/>
          <w:sz w:val="18"/>
          <w:szCs w:val="18"/>
        </w:rPr>
        <w:t>(</w:t>
      </w:r>
      <w:r>
        <w:rPr>
          <w:rFonts w:ascii="Verdana" w:hAnsi="Verdana"/>
          <w:i/>
          <w:iCs/>
          <w:color w:val="000000"/>
          <w:sz w:val="18"/>
          <w:szCs w:val="18"/>
        </w:rPr>
        <w:t>c</w:t>
      </w:r>
      <w:r>
        <w:rPr>
          <w:rFonts w:ascii="Verdana" w:hAnsi="Verdana"/>
          <w:color w:val="000000"/>
          <w:sz w:val="18"/>
          <w:szCs w:val="18"/>
        </w:rPr>
        <w:t>)</w:t>
      </w:r>
    </w:p>
    <w:p w:rsidR="00C322DE" w:rsidRDefault="00C322DE" w:rsidP="00C322DE">
      <w:pPr>
        <w:pStyle w:val="para"/>
        <w:spacing w:before="0" w:beforeAutospacing="0" w:after="0" w:afterAutospacing="0"/>
        <w:ind w:left="1134"/>
        <w:jc w:val="both"/>
        <w:rPr>
          <w:rFonts w:ascii="Verdana" w:hAnsi="Verdana"/>
          <w:color w:val="000000"/>
          <w:sz w:val="18"/>
          <w:szCs w:val="18"/>
        </w:rPr>
      </w:pPr>
      <w:proofErr w:type="gramStart"/>
      <w:r>
        <w:rPr>
          <w:rFonts w:ascii="Verdana" w:hAnsi="Verdana"/>
          <w:color w:val="000000"/>
          <w:sz w:val="18"/>
          <w:szCs w:val="18"/>
        </w:rPr>
        <w:t>deliberately</w:t>
      </w:r>
      <w:proofErr w:type="gramEnd"/>
      <w:r>
        <w:rPr>
          <w:rFonts w:ascii="Verdana" w:hAnsi="Verdana"/>
          <w:color w:val="000000"/>
          <w:sz w:val="18"/>
          <w:szCs w:val="18"/>
        </w:rPr>
        <w:t xml:space="preserve"> inflicts on the group conditions of life calculated to bring about its physical destruction in whole or in part;</w:t>
      </w:r>
    </w:p>
    <w:p w:rsidR="00C322DE" w:rsidRDefault="00C322DE" w:rsidP="00C322DE">
      <w:pPr>
        <w:pStyle w:val="para"/>
        <w:spacing w:before="180" w:beforeAutospacing="0" w:after="0" w:afterAutospacing="0"/>
        <w:ind w:left="1134" w:hanging="567"/>
        <w:jc w:val="both"/>
        <w:rPr>
          <w:rFonts w:ascii="Verdana" w:hAnsi="Verdana"/>
          <w:color w:val="000000"/>
          <w:sz w:val="18"/>
          <w:szCs w:val="18"/>
        </w:rPr>
      </w:pPr>
      <w:r>
        <w:rPr>
          <w:rFonts w:ascii="Verdana" w:hAnsi="Verdana"/>
          <w:color w:val="000000"/>
          <w:sz w:val="18"/>
          <w:szCs w:val="18"/>
        </w:rPr>
        <w:t>(</w:t>
      </w:r>
      <w:r>
        <w:rPr>
          <w:rFonts w:ascii="Verdana" w:hAnsi="Verdana"/>
          <w:i/>
          <w:iCs/>
          <w:color w:val="000000"/>
          <w:sz w:val="18"/>
          <w:szCs w:val="18"/>
        </w:rPr>
        <w:t>d</w:t>
      </w:r>
      <w:r>
        <w:rPr>
          <w:rFonts w:ascii="Verdana" w:hAnsi="Verdana"/>
          <w:color w:val="000000"/>
          <w:sz w:val="18"/>
          <w:szCs w:val="18"/>
        </w:rPr>
        <w:t>)</w:t>
      </w:r>
    </w:p>
    <w:p w:rsidR="00C322DE" w:rsidRDefault="00C322DE" w:rsidP="00C322DE">
      <w:pPr>
        <w:pStyle w:val="para"/>
        <w:spacing w:before="0" w:beforeAutospacing="0" w:after="0" w:afterAutospacing="0"/>
        <w:ind w:left="1134"/>
        <w:jc w:val="both"/>
        <w:rPr>
          <w:rFonts w:ascii="Verdana" w:hAnsi="Verdana"/>
          <w:color w:val="000000"/>
          <w:sz w:val="18"/>
          <w:szCs w:val="18"/>
        </w:rPr>
      </w:pPr>
      <w:proofErr w:type="gramStart"/>
      <w:r>
        <w:rPr>
          <w:rFonts w:ascii="Verdana" w:hAnsi="Verdana"/>
          <w:color w:val="000000"/>
          <w:sz w:val="18"/>
          <w:szCs w:val="18"/>
        </w:rPr>
        <w:t>imposes</w:t>
      </w:r>
      <w:proofErr w:type="gramEnd"/>
      <w:r>
        <w:rPr>
          <w:rFonts w:ascii="Verdana" w:hAnsi="Verdana"/>
          <w:color w:val="000000"/>
          <w:sz w:val="18"/>
          <w:szCs w:val="18"/>
        </w:rPr>
        <w:t xml:space="preserve"> measures intended to prevent births within the group; or</w:t>
      </w:r>
    </w:p>
    <w:p w:rsidR="00C322DE" w:rsidRDefault="00C322DE" w:rsidP="00C322DE">
      <w:pPr>
        <w:pStyle w:val="para"/>
        <w:spacing w:before="180" w:beforeAutospacing="0" w:after="0" w:afterAutospacing="0"/>
        <w:ind w:left="1134" w:hanging="567"/>
        <w:jc w:val="both"/>
        <w:rPr>
          <w:rFonts w:ascii="Verdana" w:hAnsi="Verdana"/>
          <w:color w:val="000000"/>
          <w:sz w:val="18"/>
          <w:szCs w:val="18"/>
        </w:rPr>
      </w:pPr>
      <w:r>
        <w:rPr>
          <w:rFonts w:ascii="Verdana" w:hAnsi="Verdana"/>
          <w:color w:val="000000"/>
          <w:sz w:val="18"/>
          <w:szCs w:val="18"/>
        </w:rPr>
        <w:t>(</w:t>
      </w:r>
      <w:r>
        <w:rPr>
          <w:rFonts w:ascii="Verdana" w:hAnsi="Verdana"/>
          <w:i/>
          <w:iCs/>
          <w:color w:val="000000"/>
          <w:sz w:val="18"/>
          <w:szCs w:val="18"/>
        </w:rPr>
        <w:t>e</w:t>
      </w:r>
      <w:r>
        <w:rPr>
          <w:rFonts w:ascii="Verdana" w:hAnsi="Verdana"/>
          <w:color w:val="000000"/>
          <w:sz w:val="18"/>
          <w:szCs w:val="18"/>
        </w:rPr>
        <w:t>)</w:t>
      </w:r>
    </w:p>
    <w:p w:rsidR="00C322DE" w:rsidRDefault="00C322DE" w:rsidP="00C322DE">
      <w:pPr>
        <w:pStyle w:val="para"/>
        <w:spacing w:before="0" w:beforeAutospacing="0" w:after="0" w:afterAutospacing="0"/>
        <w:ind w:left="1134"/>
        <w:jc w:val="both"/>
        <w:rPr>
          <w:rFonts w:ascii="Verdana" w:hAnsi="Verdana"/>
          <w:color w:val="000000"/>
          <w:sz w:val="18"/>
          <w:szCs w:val="18"/>
        </w:rPr>
      </w:pPr>
      <w:proofErr w:type="gramStart"/>
      <w:r>
        <w:rPr>
          <w:rFonts w:ascii="Verdana" w:hAnsi="Verdana"/>
          <w:color w:val="000000"/>
          <w:sz w:val="18"/>
          <w:szCs w:val="18"/>
        </w:rPr>
        <w:t>forcibly</w:t>
      </w:r>
      <w:proofErr w:type="gramEnd"/>
      <w:r>
        <w:rPr>
          <w:rFonts w:ascii="Verdana" w:hAnsi="Verdana"/>
          <w:color w:val="000000"/>
          <w:sz w:val="18"/>
          <w:szCs w:val="18"/>
        </w:rPr>
        <w:t xml:space="preserve"> transfers children of the group to another group.</w:t>
      </w:r>
    </w:p>
    <w:p w:rsidR="00C322DE" w:rsidRDefault="00C322DE" w:rsidP="00C322DE">
      <w:pPr>
        <w:pStyle w:val="subsection"/>
        <w:spacing w:before="180" w:beforeAutospacing="0" w:after="0" w:afterAutospacing="0"/>
        <w:ind w:firstLine="284"/>
        <w:jc w:val="both"/>
        <w:rPr>
          <w:rFonts w:ascii="Verdana" w:hAnsi="Verdana"/>
          <w:color w:val="000000"/>
          <w:sz w:val="18"/>
          <w:szCs w:val="18"/>
        </w:rPr>
      </w:pPr>
      <w:r>
        <w:rPr>
          <w:rFonts w:ascii="Verdana" w:hAnsi="Verdana"/>
          <w:color w:val="000000"/>
          <w:sz w:val="18"/>
          <w:szCs w:val="18"/>
        </w:rPr>
        <w:t>(2)  Proceedings for an offence of genocide shall not be instituted except by or with the consent of the Attorney-General.</w:t>
      </w:r>
    </w:p>
    <w:p w:rsidR="00C322DE" w:rsidRDefault="00C322DE"/>
    <w:p w:rsidR="00C322DE" w:rsidRDefault="00C322DE" w:rsidP="00C322DE">
      <w:pPr>
        <w:pStyle w:val="section"/>
        <w:spacing w:before="360" w:beforeAutospacing="0" w:after="0" w:afterAutospacing="0"/>
        <w:jc w:val="both"/>
        <w:rPr>
          <w:rFonts w:ascii="Verdana" w:hAnsi="Verdana"/>
          <w:b/>
          <w:bCs/>
          <w:color w:val="000000"/>
          <w:sz w:val="18"/>
          <w:szCs w:val="18"/>
        </w:rPr>
      </w:pPr>
      <w:r>
        <w:rPr>
          <w:rFonts w:ascii="Verdana" w:hAnsi="Verdana"/>
          <w:b/>
          <w:bCs/>
          <w:color w:val="000000"/>
          <w:sz w:val="18"/>
          <w:szCs w:val="18"/>
        </w:rPr>
        <w:t>3.   Punishment</w:t>
      </w:r>
    </w:p>
    <w:p w:rsidR="00C322DE" w:rsidRDefault="00C322DE" w:rsidP="00C322DE">
      <w:pPr>
        <w:pStyle w:val="subsection"/>
        <w:spacing w:before="180" w:beforeAutospacing="0" w:after="0" w:afterAutospacing="0"/>
        <w:ind w:firstLine="284"/>
        <w:jc w:val="both"/>
        <w:rPr>
          <w:rFonts w:ascii="Verdana" w:hAnsi="Verdana"/>
          <w:color w:val="000000"/>
          <w:sz w:val="18"/>
          <w:szCs w:val="18"/>
        </w:rPr>
      </w:pPr>
      <w:r>
        <w:rPr>
          <w:rFonts w:ascii="Verdana" w:hAnsi="Verdana"/>
          <w:color w:val="000000"/>
          <w:sz w:val="18"/>
          <w:szCs w:val="18"/>
        </w:rPr>
        <w:t>A person guilty of the offence of genocide shall, on conviction on indictment—</w:t>
      </w:r>
    </w:p>
    <w:p w:rsidR="00C322DE" w:rsidRDefault="00C322DE" w:rsidP="00C322DE">
      <w:pPr>
        <w:pStyle w:val="para"/>
        <w:spacing w:before="180" w:beforeAutospacing="0" w:after="0" w:afterAutospacing="0"/>
        <w:ind w:left="1134" w:hanging="567"/>
        <w:jc w:val="both"/>
        <w:rPr>
          <w:rFonts w:ascii="Verdana" w:hAnsi="Verdana"/>
          <w:color w:val="000000"/>
          <w:sz w:val="18"/>
          <w:szCs w:val="18"/>
        </w:rPr>
      </w:pPr>
      <w:r>
        <w:rPr>
          <w:rFonts w:ascii="Verdana" w:hAnsi="Verdana"/>
          <w:color w:val="000000"/>
          <w:sz w:val="18"/>
          <w:szCs w:val="18"/>
        </w:rPr>
        <w:t>(</w:t>
      </w:r>
      <w:r>
        <w:rPr>
          <w:rFonts w:ascii="Verdana" w:hAnsi="Verdana"/>
          <w:i/>
          <w:iCs/>
          <w:color w:val="000000"/>
          <w:sz w:val="18"/>
          <w:szCs w:val="18"/>
        </w:rPr>
        <w:t>a</w:t>
      </w:r>
      <w:r>
        <w:rPr>
          <w:rFonts w:ascii="Verdana" w:hAnsi="Verdana"/>
          <w:color w:val="000000"/>
          <w:sz w:val="18"/>
          <w:szCs w:val="18"/>
        </w:rPr>
        <w:t>)</w:t>
      </w:r>
    </w:p>
    <w:p w:rsidR="00C322DE" w:rsidRDefault="00C322DE" w:rsidP="00C322DE">
      <w:pPr>
        <w:pStyle w:val="para"/>
        <w:spacing w:before="0" w:beforeAutospacing="0" w:after="0" w:afterAutospacing="0"/>
        <w:ind w:left="1134"/>
        <w:jc w:val="both"/>
        <w:rPr>
          <w:rFonts w:ascii="Verdana" w:hAnsi="Verdana"/>
          <w:color w:val="000000"/>
          <w:sz w:val="18"/>
          <w:szCs w:val="18"/>
        </w:rPr>
      </w:pPr>
      <w:proofErr w:type="gramStart"/>
      <w:r>
        <w:rPr>
          <w:rFonts w:ascii="Verdana" w:hAnsi="Verdana"/>
          <w:color w:val="000000"/>
          <w:sz w:val="18"/>
          <w:szCs w:val="18"/>
        </w:rPr>
        <w:lastRenderedPageBreak/>
        <w:t>if</w:t>
      </w:r>
      <w:proofErr w:type="gramEnd"/>
      <w:r>
        <w:rPr>
          <w:rFonts w:ascii="Verdana" w:hAnsi="Verdana"/>
          <w:color w:val="000000"/>
          <w:sz w:val="18"/>
          <w:szCs w:val="18"/>
        </w:rPr>
        <w:t xml:space="preserve"> the offence consists of the killing of members of the group, be sentenced to imprisonment for life;</w:t>
      </w:r>
    </w:p>
    <w:p w:rsidR="00C322DE" w:rsidRDefault="00C322DE" w:rsidP="00C322DE">
      <w:pPr>
        <w:pStyle w:val="para"/>
        <w:spacing w:before="180" w:beforeAutospacing="0" w:after="0" w:afterAutospacing="0"/>
        <w:ind w:left="1134" w:hanging="567"/>
        <w:jc w:val="both"/>
        <w:rPr>
          <w:rFonts w:ascii="Verdana" w:hAnsi="Verdana"/>
          <w:color w:val="000000"/>
          <w:sz w:val="18"/>
          <w:szCs w:val="18"/>
        </w:rPr>
      </w:pPr>
      <w:r>
        <w:rPr>
          <w:rFonts w:ascii="Verdana" w:hAnsi="Verdana"/>
          <w:color w:val="000000"/>
          <w:sz w:val="18"/>
          <w:szCs w:val="18"/>
        </w:rPr>
        <w:t>(</w:t>
      </w:r>
      <w:r>
        <w:rPr>
          <w:rFonts w:ascii="Verdana" w:hAnsi="Verdana"/>
          <w:i/>
          <w:iCs/>
          <w:color w:val="000000"/>
          <w:sz w:val="18"/>
          <w:szCs w:val="18"/>
        </w:rPr>
        <w:t>b</w:t>
      </w:r>
      <w:r>
        <w:rPr>
          <w:rFonts w:ascii="Verdana" w:hAnsi="Verdana"/>
          <w:color w:val="000000"/>
          <w:sz w:val="18"/>
          <w:szCs w:val="18"/>
        </w:rPr>
        <w:t>)</w:t>
      </w:r>
    </w:p>
    <w:p w:rsidR="00C322DE" w:rsidRDefault="00C322DE" w:rsidP="00C322DE">
      <w:pPr>
        <w:pStyle w:val="para"/>
        <w:spacing w:before="0" w:beforeAutospacing="0" w:after="0" w:afterAutospacing="0"/>
        <w:ind w:left="1134"/>
        <w:jc w:val="both"/>
        <w:rPr>
          <w:rFonts w:ascii="Verdana" w:hAnsi="Verdana"/>
          <w:color w:val="000000"/>
          <w:sz w:val="18"/>
          <w:szCs w:val="18"/>
        </w:rPr>
      </w:pPr>
      <w:proofErr w:type="gramStart"/>
      <w:r>
        <w:rPr>
          <w:rFonts w:ascii="Verdana" w:hAnsi="Verdana"/>
          <w:color w:val="000000"/>
          <w:sz w:val="18"/>
          <w:szCs w:val="18"/>
        </w:rPr>
        <w:t>in</w:t>
      </w:r>
      <w:proofErr w:type="gramEnd"/>
      <w:r>
        <w:rPr>
          <w:rFonts w:ascii="Verdana" w:hAnsi="Verdana"/>
          <w:color w:val="000000"/>
          <w:sz w:val="18"/>
          <w:szCs w:val="18"/>
        </w:rPr>
        <w:t xml:space="preserve"> every other case be liable to imprisonment for fourteen years.</w:t>
      </w:r>
    </w:p>
    <w:p w:rsidR="00C322DE" w:rsidRDefault="00C322DE"/>
    <w:p w:rsidR="00C322DE" w:rsidRDefault="00C322DE" w:rsidP="00C322DE">
      <w:pPr>
        <w:pStyle w:val="section"/>
        <w:spacing w:before="360" w:beforeAutospacing="0" w:after="0" w:afterAutospacing="0"/>
        <w:jc w:val="both"/>
        <w:rPr>
          <w:rFonts w:ascii="Verdana" w:hAnsi="Verdana"/>
          <w:b/>
          <w:bCs/>
          <w:color w:val="000000"/>
          <w:sz w:val="18"/>
          <w:szCs w:val="18"/>
        </w:rPr>
      </w:pPr>
      <w:r>
        <w:rPr>
          <w:rFonts w:ascii="Verdana" w:hAnsi="Verdana"/>
          <w:b/>
          <w:bCs/>
          <w:color w:val="000000"/>
          <w:sz w:val="18"/>
          <w:szCs w:val="18"/>
        </w:rPr>
        <w:t>4.   Extradition and related matters</w:t>
      </w:r>
    </w:p>
    <w:p w:rsidR="00C322DE" w:rsidRDefault="00C322DE" w:rsidP="00C322DE">
      <w:pPr>
        <w:pStyle w:val="subsection"/>
        <w:spacing w:before="180" w:beforeAutospacing="0" w:after="0" w:afterAutospacing="0"/>
        <w:ind w:firstLine="284"/>
        <w:jc w:val="both"/>
        <w:rPr>
          <w:rFonts w:ascii="Verdana" w:hAnsi="Verdana"/>
          <w:color w:val="000000"/>
          <w:sz w:val="18"/>
          <w:szCs w:val="18"/>
        </w:rPr>
      </w:pPr>
      <w:r>
        <w:rPr>
          <w:rFonts w:ascii="Verdana" w:hAnsi="Verdana"/>
          <w:color w:val="000000"/>
          <w:sz w:val="18"/>
          <w:szCs w:val="18"/>
        </w:rPr>
        <w:t>(1)  There shall be deemed to be included—</w:t>
      </w:r>
    </w:p>
    <w:p w:rsidR="00C322DE" w:rsidRDefault="00C322DE" w:rsidP="00C322DE">
      <w:pPr>
        <w:pStyle w:val="para"/>
        <w:spacing w:before="180" w:beforeAutospacing="0" w:after="0" w:afterAutospacing="0"/>
        <w:ind w:left="1134" w:hanging="567"/>
        <w:jc w:val="both"/>
        <w:rPr>
          <w:rFonts w:ascii="Verdana" w:hAnsi="Verdana"/>
          <w:color w:val="000000"/>
          <w:sz w:val="18"/>
          <w:szCs w:val="18"/>
        </w:rPr>
      </w:pPr>
      <w:r>
        <w:rPr>
          <w:rFonts w:ascii="Verdana" w:hAnsi="Verdana"/>
          <w:color w:val="000000"/>
          <w:sz w:val="18"/>
          <w:szCs w:val="18"/>
        </w:rPr>
        <w:t>(</w:t>
      </w:r>
      <w:r>
        <w:rPr>
          <w:rFonts w:ascii="Verdana" w:hAnsi="Verdana"/>
          <w:i/>
          <w:iCs/>
          <w:color w:val="000000"/>
          <w:sz w:val="18"/>
          <w:szCs w:val="18"/>
        </w:rPr>
        <w:t>a</w:t>
      </w:r>
      <w:r>
        <w:rPr>
          <w:rFonts w:ascii="Verdana" w:hAnsi="Verdana"/>
          <w:color w:val="000000"/>
          <w:sz w:val="18"/>
          <w:szCs w:val="18"/>
        </w:rPr>
        <w:t>)</w:t>
      </w:r>
    </w:p>
    <w:p w:rsidR="00C322DE" w:rsidRDefault="00C322DE" w:rsidP="00C322DE">
      <w:pPr>
        <w:pStyle w:val="para"/>
        <w:spacing w:before="0" w:beforeAutospacing="0" w:after="0" w:afterAutospacing="0"/>
        <w:ind w:left="1134"/>
        <w:jc w:val="both"/>
        <w:rPr>
          <w:rFonts w:ascii="Verdana" w:hAnsi="Verdana"/>
          <w:color w:val="000000"/>
          <w:sz w:val="18"/>
          <w:szCs w:val="18"/>
        </w:rPr>
      </w:pPr>
      <w:proofErr w:type="gramStart"/>
      <w:r>
        <w:rPr>
          <w:rFonts w:ascii="Verdana" w:hAnsi="Verdana"/>
          <w:color w:val="000000"/>
          <w:sz w:val="18"/>
          <w:szCs w:val="18"/>
        </w:rPr>
        <w:t>in</w:t>
      </w:r>
      <w:proofErr w:type="gramEnd"/>
      <w:r>
        <w:rPr>
          <w:rFonts w:ascii="Verdana" w:hAnsi="Verdana"/>
          <w:color w:val="000000"/>
          <w:sz w:val="18"/>
          <w:szCs w:val="18"/>
        </w:rPr>
        <w:t xml:space="preserve"> the list of extradition crimes contained in Schedule I to the</w:t>
      </w:r>
      <w:r>
        <w:rPr>
          <w:rStyle w:val="apple-converted-space"/>
          <w:rFonts w:ascii="Verdana" w:hAnsi="Verdana"/>
          <w:color w:val="000000"/>
          <w:sz w:val="18"/>
          <w:szCs w:val="18"/>
        </w:rPr>
        <w:t> </w:t>
      </w:r>
      <w:hyperlink r:id="rId11" w:anchor="0" w:history="1">
        <w:r>
          <w:rPr>
            <w:rStyle w:val="Hyperlink"/>
            <w:rFonts w:ascii="Verdana" w:hAnsi="Verdana"/>
            <w:color w:val="1B2F59"/>
            <w:sz w:val="18"/>
            <w:szCs w:val="18"/>
          </w:rPr>
          <w:t>Extradition Act</w:t>
        </w:r>
      </w:hyperlink>
      <w:r>
        <w:rPr>
          <w:rFonts w:ascii="Verdana" w:hAnsi="Verdana"/>
          <w:color w:val="000000"/>
          <w:sz w:val="18"/>
          <w:szCs w:val="18"/>
        </w:rPr>
        <w:t>, 1870, of England; and</w:t>
      </w:r>
    </w:p>
    <w:p w:rsidR="00C322DE" w:rsidRDefault="00C322DE" w:rsidP="00C322DE">
      <w:pPr>
        <w:pStyle w:val="para"/>
        <w:spacing w:before="180" w:beforeAutospacing="0" w:after="0" w:afterAutospacing="0"/>
        <w:ind w:left="1134" w:hanging="567"/>
        <w:jc w:val="both"/>
        <w:rPr>
          <w:rFonts w:ascii="Verdana" w:hAnsi="Verdana"/>
          <w:color w:val="000000"/>
          <w:sz w:val="18"/>
          <w:szCs w:val="18"/>
        </w:rPr>
      </w:pPr>
      <w:r>
        <w:rPr>
          <w:rFonts w:ascii="Verdana" w:hAnsi="Verdana"/>
          <w:color w:val="000000"/>
          <w:sz w:val="18"/>
          <w:szCs w:val="18"/>
        </w:rPr>
        <w:t>(</w:t>
      </w:r>
      <w:r>
        <w:rPr>
          <w:rFonts w:ascii="Verdana" w:hAnsi="Verdana"/>
          <w:i/>
          <w:iCs/>
          <w:color w:val="000000"/>
          <w:sz w:val="18"/>
          <w:szCs w:val="18"/>
        </w:rPr>
        <w:t>b</w:t>
      </w:r>
      <w:r>
        <w:rPr>
          <w:rFonts w:ascii="Verdana" w:hAnsi="Verdana"/>
          <w:color w:val="000000"/>
          <w:sz w:val="18"/>
          <w:szCs w:val="18"/>
        </w:rPr>
        <w:t>)</w:t>
      </w:r>
    </w:p>
    <w:p w:rsidR="00C322DE" w:rsidRDefault="00C322DE" w:rsidP="00C322DE">
      <w:pPr>
        <w:pStyle w:val="para"/>
        <w:spacing w:before="0" w:beforeAutospacing="0" w:after="0" w:afterAutospacing="0"/>
        <w:ind w:left="1134"/>
        <w:jc w:val="both"/>
        <w:rPr>
          <w:rFonts w:ascii="Verdana" w:hAnsi="Verdana"/>
          <w:color w:val="000000"/>
          <w:sz w:val="18"/>
          <w:szCs w:val="18"/>
        </w:rPr>
      </w:pPr>
      <w:proofErr w:type="gramStart"/>
      <w:r>
        <w:rPr>
          <w:rFonts w:ascii="Verdana" w:hAnsi="Verdana"/>
          <w:color w:val="000000"/>
          <w:sz w:val="18"/>
          <w:szCs w:val="18"/>
        </w:rPr>
        <w:t>among</w:t>
      </w:r>
      <w:proofErr w:type="gramEnd"/>
      <w:r>
        <w:rPr>
          <w:rFonts w:ascii="Verdana" w:hAnsi="Verdana"/>
          <w:color w:val="000000"/>
          <w:sz w:val="18"/>
          <w:szCs w:val="18"/>
        </w:rPr>
        <w:t xml:space="preserve"> the descriptions of offences listed in the Schedule to the Fugitive Offenders Act, 1870,</w:t>
      </w:r>
    </w:p>
    <w:p w:rsidR="00C322DE" w:rsidRDefault="00C322DE" w:rsidP="00C322DE">
      <w:pPr>
        <w:pStyle w:val="continued"/>
        <w:spacing w:before="180" w:beforeAutospacing="0" w:after="0" w:afterAutospacing="0"/>
        <w:jc w:val="both"/>
        <w:rPr>
          <w:rFonts w:ascii="Verdana" w:hAnsi="Verdana"/>
          <w:color w:val="000000"/>
          <w:sz w:val="18"/>
          <w:szCs w:val="18"/>
        </w:rPr>
      </w:pPr>
      <w:proofErr w:type="gramStart"/>
      <w:r>
        <w:rPr>
          <w:rFonts w:ascii="Verdana" w:hAnsi="Verdana"/>
          <w:color w:val="000000"/>
          <w:sz w:val="18"/>
          <w:szCs w:val="18"/>
        </w:rPr>
        <w:t>the</w:t>
      </w:r>
      <w:proofErr w:type="gramEnd"/>
      <w:r>
        <w:rPr>
          <w:rFonts w:ascii="Verdana" w:hAnsi="Verdana"/>
          <w:color w:val="000000"/>
          <w:sz w:val="18"/>
          <w:szCs w:val="18"/>
        </w:rPr>
        <w:t xml:space="preserve"> offence of genocide and (so far as not so included by virtue of either of those Acts) an attempt, a conspiracy, and a direct and public incitement, to commit genocide.</w:t>
      </w:r>
    </w:p>
    <w:p w:rsidR="00C322DE" w:rsidRDefault="00C322DE" w:rsidP="00C322DE">
      <w:pPr>
        <w:pStyle w:val="subsection"/>
        <w:spacing w:before="180" w:beforeAutospacing="0" w:after="0" w:afterAutospacing="0"/>
        <w:ind w:firstLine="284"/>
        <w:jc w:val="both"/>
        <w:rPr>
          <w:rFonts w:ascii="Verdana" w:hAnsi="Verdana"/>
          <w:color w:val="000000"/>
          <w:sz w:val="18"/>
          <w:szCs w:val="18"/>
        </w:rPr>
      </w:pPr>
      <w:r>
        <w:rPr>
          <w:rFonts w:ascii="Verdana" w:hAnsi="Verdana"/>
          <w:color w:val="000000"/>
          <w:sz w:val="18"/>
          <w:szCs w:val="18"/>
        </w:rPr>
        <w:t>(2)  For the purposes of the Acts mentioned in</w:t>
      </w:r>
      <w:r>
        <w:rPr>
          <w:rStyle w:val="apple-converted-space"/>
          <w:rFonts w:ascii="Verdana" w:hAnsi="Verdana"/>
          <w:color w:val="000000"/>
          <w:sz w:val="18"/>
          <w:szCs w:val="18"/>
        </w:rPr>
        <w:t> </w:t>
      </w:r>
      <w:hyperlink r:id="rId12" w:anchor="e" w:history="1">
        <w:r>
          <w:rPr>
            <w:rStyle w:val="Hyperlink"/>
            <w:rFonts w:ascii="Verdana" w:hAnsi="Verdana"/>
            <w:color w:val="1B2F59"/>
            <w:sz w:val="18"/>
            <w:szCs w:val="18"/>
          </w:rPr>
          <w:t>subsection (1)</w:t>
        </w:r>
      </w:hyperlink>
      <w:r>
        <w:rPr>
          <w:rStyle w:val="apple-converted-space"/>
          <w:rFonts w:ascii="Verdana" w:hAnsi="Verdana"/>
          <w:color w:val="000000"/>
          <w:sz w:val="18"/>
          <w:szCs w:val="18"/>
        </w:rPr>
        <w:t> </w:t>
      </w:r>
      <w:r>
        <w:rPr>
          <w:rFonts w:ascii="Verdana" w:hAnsi="Verdana"/>
          <w:color w:val="000000"/>
          <w:sz w:val="18"/>
          <w:szCs w:val="18"/>
        </w:rPr>
        <w:t>and the</w:t>
      </w:r>
      <w:r>
        <w:rPr>
          <w:rStyle w:val="apple-converted-space"/>
          <w:rFonts w:ascii="Verdana" w:hAnsi="Verdana"/>
          <w:color w:val="000000"/>
          <w:sz w:val="18"/>
          <w:szCs w:val="18"/>
        </w:rPr>
        <w:t> </w:t>
      </w:r>
      <w:hyperlink r:id="rId13" w:anchor="0" w:history="1">
        <w:r>
          <w:rPr>
            <w:rStyle w:val="Hyperlink"/>
            <w:rFonts w:ascii="Verdana" w:hAnsi="Verdana"/>
            <w:color w:val="1B2F59"/>
            <w:sz w:val="18"/>
            <w:szCs w:val="18"/>
          </w:rPr>
          <w:t>Extradition Act</w:t>
        </w:r>
      </w:hyperlink>
      <w:r>
        <w:rPr>
          <w:rFonts w:ascii="Verdana" w:hAnsi="Verdana"/>
          <w:color w:val="000000"/>
          <w:sz w:val="18"/>
          <w:szCs w:val="18"/>
        </w:rPr>
        <w:t>, 1873, of England, no offence which, if committed in Grenada, would be punishable as an offence of genocide or as an attempt, conspiracy or incitement to commit genocide, shall be regarded as an offence of a political character, and no proceedings in respect of such an offence shall be regarded as a criminal matter of a political character.</w:t>
      </w:r>
    </w:p>
    <w:p w:rsidR="00C322DE" w:rsidRDefault="00C322DE" w:rsidP="00C322DE">
      <w:pPr>
        <w:pStyle w:val="subsection"/>
        <w:spacing w:before="180" w:beforeAutospacing="0" w:after="0" w:afterAutospacing="0"/>
        <w:ind w:firstLine="284"/>
        <w:jc w:val="both"/>
        <w:rPr>
          <w:rFonts w:ascii="Verdana" w:hAnsi="Verdana"/>
          <w:color w:val="000000"/>
          <w:sz w:val="18"/>
          <w:szCs w:val="18"/>
        </w:rPr>
      </w:pPr>
      <w:r>
        <w:rPr>
          <w:rFonts w:ascii="Verdana" w:hAnsi="Verdana"/>
          <w:color w:val="000000"/>
          <w:sz w:val="18"/>
          <w:szCs w:val="18"/>
        </w:rPr>
        <w:t>(3)  It shall not be an objection to any proceedings taken against a person by virtue of</w:t>
      </w:r>
      <w:r>
        <w:rPr>
          <w:rStyle w:val="apple-converted-space"/>
          <w:rFonts w:ascii="Verdana" w:hAnsi="Verdana"/>
          <w:color w:val="000000"/>
          <w:sz w:val="18"/>
          <w:szCs w:val="18"/>
        </w:rPr>
        <w:t> </w:t>
      </w:r>
      <w:hyperlink r:id="rId14" w:anchor="e" w:history="1">
        <w:r>
          <w:rPr>
            <w:rStyle w:val="Hyperlink"/>
            <w:rFonts w:ascii="Verdana" w:hAnsi="Verdana"/>
            <w:color w:val="1B2F59"/>
            <w:sz w:val="18"/>
            <w:szCs w:val="18"/>
          </w:rPr>
          <w:t>subsection (1)</w:t>
        </w:r>
      </w:hyperlink>
      <w:r>
        <w:rPr>
          <w:rStyle w:val="apple-converted-space"/>
          <w:rFonts w:ascii="Verdana" w:hAnsi="Verdana"/>
          <w:color w:val="000000"/>
          <w:sz w:val="18"/>
          <w:szCs w:val="18"/>
        </w:rPr>
        <w:t> </w:t>
      </w:r>
      <w:r>
        <w:rPr>
          <w:rFonts w:ascii="Verdana" w:hAnsi="Verdana"/>
          <w:color w:val="000000"/>
          <w:sz w:val="18"/>
          <w:szCs w:val="18"/>
        </w:rPr>
        <w:t>that under the law in force at the time when and in the place where he or she is alleged to have committed the act of which he or she is accused, or of which he or she was convicted, he or she could not have been punished therefor.</w:t>
      </w:r>
    </w:p>
    <w:p w:rsidR="00C322DE" w:rsidRDefault="00C322DE">
      <w:bookmarkStart w:id="0" w:name="_GoBack"/>
      <w:bookmarkEnd w:id="0"/>
    </w:p>
    <w:sectPr w:rsidR="00C32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DE"/>
    <w:rsid w:val="008D55D4"/>
    <w:rsid w:val="00C322DE"/>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C322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section">
    <w:name w:val="subsection"/>
    <w:basedOn w:val="Normal"/>
    <w:rsid w:val="00C322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322DE"/>
  </w:style>
  <w:style w:type="character" w:styleId="Hyperlink">
    <w:name w:val="Hyperlink"/>
    <w:basedOn w:val="DefaultParagraphFont"/>
    <w:uiPriority w:val="99"/>
    <w:semiHidden/>
    <w:unhideWhenUsed/>
    <w:rsid w:val="00C322DE"/>
    <w:rPr>
      <w:color w:val="0000FF"/>
      <w:u w:val="single"/>
    </w:rPr>
  </w:style>
  <w:style w:type="paragraph" w:customStyle="1" w:styleId="para">
    <w:name w:val="para"/>
    <w:basedOn w:val="Normal"/>
    <w:rsid w:val="00C322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inued">
    <w:name w:val="continued"/>
    <w:basedOn w:val="Normal"/>
    <w:rsid w:val="00C322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C322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section">
    <w:name w:val="subsection"/>
    <w:basedOn w:val="Normal"/>
    <w:rsid w:val="00C322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322DE"/>
  </w:style>
  <w:style w:type="character" w:styleId="Hyperlink">
    <w:name w:val="Hyperlink"/>
    <w:basedOn w:val="DefaultParagraphFont"/>
    <w:uiPriority w:val="99"/>
    <w:semiHidden/>
    <w:unhideWhenUsed/>
    <w:rsid w:val="00C322DE"/>
    <w:rPr>
      <w:color w:val="0000FF"/>
      <w:u w:val="single"/>
    </w:rPr>
  </w:style>
  <w:style w:type="paragraph" w:customStyle="1" w:styleId="para">
    <w:name w:val="para"/>
    <w:basedOn w:val="Normal"/>
    <w:rsid w:val="00C322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inued">
    <w:name w:val="continued"/>
    <w:basedOn w:val="Normal"/>
    <w:rsid w:val="00C322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24980">
      <w:bodyDiv w:val="1"/>
      <w:marLeft w:val="0"/>
      <w:marRight w:val="0"/>
      <w:marTop w:val="0"/>
      <w:marBottom w:val="0"/>
      <w:divBdr>
        <w:top w:val="none" w:sz="0" w:space="0" w:color="auto"/>
        <w:left w:val="none" w:sz="0" w:space="0" w:color="auto"/>
        <w:bottom w:val="none" w:sz="0" w:space="0" w:color="auto"/>
        <w:right w:val="none" w:sz="0" w:space="0" w:color="auto"/>
      </w:divBdr>
    </w:div>
    <w:div w:id="810947053">
      <w:bodyDiv w:val="1"/>
      <w:marLeft w:val="0"/>
      <w:marRight w:val="0"/>
      <w:marTop w:val="0"/>
      <w:marBottom w:val="0"/>
      <w:divBdr>
        <w:top w:val="none" w:sz="0" w:space="0" w:color="auto"/>
        <w:left w:val="none" w:sz="0" w:space="0" w:color="auto"/>
        <w:bottom w:val="none" w:sz="0" w:space="0" w:color="auto"/>
        <w:right w:val="none" w:sz="0" w:space="0" w:color="auto"/>
      </w:divBdr>
    </w:div>
    <w:div w:id="1052465872">
      <w:bodyDiv w:val="1"/>
      <w:marLeft w:val="0"/>
      <w:marRight w:val="0"/>
      <w:marTop w:val="0"/>
      <w:marBottom w:val="0"/>
      <w:divBdr>
        <w:top w:val="none" w:sz="0" w:space="0" w:color="auto"/>
        <w:left w:val="none" w:sz="0" w:space="0" w:color="auto"/>
        <w:bottom w:val="none" w:sz="0" w:space="0" w:color="auto"/>
        <w:right w:val="none" w:sz="0" w:space="0" w:color="auto"/>
      </w:divBdr>
    </w:div>
    <w:div w:id="1565025630">
      <w:bodyDiv w:val="1"/>
      <w:marLeft w:val="0"/>
      <w:marRight w:val="0"/>
      <w:marTop w:val="0"/>
      <w:marBottom w:val="0"/>
      <w:divBdr>
        <w:top w:val="none" w:sz="0" w:space="0" w:color="auto"/>
        <w:left w:val="none" w:sz="0" w:space="0" w:color="auto"/>
        <w:bottom w:val="none" w:sz="0" w:space="0" w:color="auto"/>
        <w:right w:val="none" w:sz="0" w:space="0" w:color="auto"/>
      </w:divBdr>
    </w:div>
    <w:div w:id="19692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lexisnexis.co.za/grenada/default.asp?/qlfub/0m7jc/1m7jc/2m7jc/3m7jc/w8dkc/zxvkc/03vkc/43vkc" TargetMode="External"/><Relationship Id="rId13" Type="http://schemas.openxmlformats.org/officeDocument/2006/relationships/hyperlink" Target="http://www.mylexisnexis.co.za/grenada/default.asp?/qlfub/0m7jc/1m7jc/2m7jc/3m7jc/u8dkc/nqgkc" TargetMode="External"/><Relationship Id="rId3" Type="http://schemas.openxmlformats.org/officeDocument/2006/relationships/settings" Target="settings.xml"/><Relationship Id="rId7" Type="http://schemas.openxmlformats.org/officeDocument/2006/relationships/hyperlink" Target="http://www.mylexisnexis.co.za/grenada/default.asp?/qlfub/0m7jc/1m7jc/2m7jc/3m7jc/w8dkc/zxvkc/03vkc/33vkc" TargetMode="External"/><Relationship Id="rId12" Type="http://schemas.openxmlformats.org/officeDocument/2006/relationships/hyperlink" Target="http://www.mylexisnexis.co.za/grenada/default.asp?/qlfub/0m7jc/1m7jc/2m7jc/3m7jc/w8dkc/zxvkc/03vkc/43vk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ylexisnexis.co.za/grenada/default.asp?/qlfub/0m7jc/1m7jc/2m7jc/3m7jc/w8dkc/zxvkc/03vkc/23vkc" TargetMode="External"/><Relationship Id="rId11" Type="http://schemas.openxmlformats.org/officeDocument/2006/relationships/hyperlink" Target="http://www.mylexisnexis.co.za/grenada/default.asp?/qlfub/0m7jc/1m7jc/2m7jc/3m7jc/u8dkc/nqgkc" TargetMode="External"/><Relationship Id="rId5" Type="http://schemas.openxmlformats.org/officeDocument/2006/relationships/hyperlink" Target="http://www.mylexisnexis.co.za/grenada/default.asp?/qlfub/0m7jc/1m7jc/2m7jc/3m7jc/w8dkc/zxvkc/03vkc/13vkc" TargetMode="External"/><Relationship Id="rId15" Type="http://schemas.openxmlformats.org/officeDocument/2006/relationships/fontTable" Target="fontTable.xml"/><Relationship Id="rId10" Type="http://schemas.openxmlformats.org/officeDocument/2006/relationships/hyperlink" Target="http://www.mylexisnexis.co.za/grenada/default.asp?/qlfub/0m7jc/1m7jc/2m7jc/3m7jc/w8dkc/zxvkc" TargetMode="External"/><Relationship Id="rId4" Type="http://schemas.openxmlformats.org/officeDocument/2006/relationships/webSettings" Target="webSettings.xml"/><Relationship Id="rId9" Type="http://schemas.openxmlformats.org/officeDocument/2006/relationships/hyperlink" Target="http://www.mylexisnexis.co.za/grenada/default.asp?/qlfub/0m7jc/1m7jc/2m7jc/3m7jc/w8dkc/zxvkc/03vkc" TargetMode="External"/><Relationship Id="rId14" Type="http://schemas.openxmlformats.org/officeDocument/2006/relationships/hyperlink" Target="http://www.mylexisnexis.co.za/grenada/default.asp?/qlfub/0m7jc/1m7jc/2m7jc/3m7jc/w8dkc/zxvkc/03vkc/43v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2013-07-10T13:47:00Z</dcterms:created>
  <dcterms:modified xsi:type="dcterms:W3CDTF">2013-07-10T13:50:00Z</dcterms:modified>
</cp:coreProperties>
</file>