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FA" w:rsidRDefault="00F3184F">
      <w:pPr>
        <w:spacing w:before="21" w:line="274" w:lineRule="exact"/>
        <w:textAlignment w:val="baseline"/>
        <w:rPr>
          <w:rFonts w:eastAsia="Times New Roman"/>
          <w:color w:val="000000"/>
          <w:sz w:val="24"/>
        </w:rPr>
      </w:pPr>
      <w:r>
        <w:rPr>
          <w:rFonts w:eastAsia="Times New Roman"/>
          <w:color w:val="000000"/>
          <w:sz w:val="24"/>
        </w:rPr>
        <w:t xml:space="preserve">Crime of </w:t>
      </w:r>
      <w:proofErr w:type="spellStart"/>
      <w:r>
        <w:rPr>
          <w:rFonts w:eastAsia="Times New Roman"/>
          <w:color w:val="000000"/>
          <w:sz w:val="24"/>
        </w:rPr>
        <w:t>Agreession</w:t>
      </w:r>
      <w:proofErr w:type="spellEnd"/>
      <w:r>
        <w:rPr>
          <w:rFonts w:eastAsia="Times New Roman"/>
          <w:color w:val="000000"/>
          <w:sz w:val="24"/>
        </w:rPr>
        <w:t xml:space="preserve"> in the Slovenian Crimina</w:t>
      </w:r>
      <w:bookmarkStart w:id="0" w:name="_GoBack"/>
      <w:r>
        <w:rPr>
          <w:rFonts w:eastAsia="Times New Roman"/>
          <w:color w:val="000000"/>
          <w:sz w:val="24"/>
        </w:rPr>
        <w:t xml:space="preserve">l </w:t>
      </w:r>
      <w:bookmarkEnd w:id="0"/>
      <w:r>
        <w:rPr>
          <w:rFonts w:eastAsia="Times New Roman"/>
          <w:color w:val="000000"/>
          <w:sz w:val="24"/>
        </w:rPr>
        <w:t>Code (KZ-1) as amended by KZ-1B</w:t>
      </w:r>
    </w:p>
    <w:p w:rsidR="00D008FA" w:rsidRDefault="00F3184F">
      <w:pPr>
        <w:spacing w:before="548" w:line="278" w:lineRule="exact"/>
        <w:jc w:val="center"/>
        <w:textAlignment w:val="baseline"/>
        <w:rPr>
          <w:rFonts w:eastAsia="Times New Roman"/>
          <w:color w:val="000000"/>
          <w:sz w:val="24"/>
        </w:rPr>
      </w:pPr>
      <w:r>
        <w:rPr>
          <w:rFonts w:eastAsia="Times New Roman"/>
          <w:color w:val="000000"/>
          <w:sz w:val="24"/>
        </w:rPr>
        <w:t xml:space="preserve">Sentence of Imprisonment </w:t>
      </w:r>
      <w:r>
        <w:rPr>
          <w:rFonts w:eastAsia="Times New Roman"/>
          <w:color w:val="000000"/>
          <w:sz w:val="24"/>
        </w:rPr>
        <w:br/>
        <w:t>Article 46</w:t>
      </w:r>
    </w:p>
    <w:p w:rsidR="00D008FA" w:rsidRDefault="00F3184F">
      <w:pPr>
        <w:numPr>
          <w:ilvl w:val="0"/>
          <w:numId w:val="1"/>
        </w:numPr>
        <w:tabs>
          <w:tab w:val="clear" w:pos="432"/>
          <w:tab w:val="left" w:pos="1368"/>
        </w:tabs>
        <w:spacing w:before="278" w:line="274" w:lineRule="exact"/>
        <w:ind w:left="0" w:firstLine="936"/>
        <w:jc w:val="both"/>
        <w:textAlignment w:val="baseline"/>
        <w:rPr>
          <w:rFonts w:eastAsia="Times New Roman"/>
          <w:color w:val="000000"/>
          <w:sz w:val="24"/>
        </w:rPr>
      </w:pPr>
      <w:r>
        <w:rPr>
          <w:rFonts w:eastAsia="Times New Roman"/>
          <w:color w:val="000000"/>
          <w:sz w:val="24"/>
        </w:rPr>
        <w:t>A prison sentence may be imposed for a term not shorter than fifteen days and not longer than one month.</w:t>
      </w:r>
    </w:p>
    <w:p w:rsidR="00D008FA" w:rsidRDefault="00F3184F">
      <w:pPr>
        <w:numPr>
          <w:ilvl w:val="0"/>
          <w:numId w:val="1"/>
        </w:numPr>
        <w:tabs>
          <w:tab w:val="clear" w:pos="432"/>
          <w:tab w:val="left" w:pos="1368"/>
        </w:tabs>
        <w:spacing w:before="276" w:line="276" w:lineRule="exact"/>
        <w:ind w:left="0" w:firstLine="936"/>
        <w:jc w:val="both"/>
        <w:textAlignment w:val="baseline"/>
        <w:rPr>
          <w:rFonts w:eastAsia="Times New Roman"/>
          <w:color w:val="000000"/>
          <w:sz w:val="24"/>
        </w:rPr>
      </w:pPr>
      <w:r>
        <w:rPr>
          <w:rFonts w:eastAsia="Times New Roman"/>
          <w:color w:val="000000"/>
          <w:sz w:val="24"/>
        </w:rPr>
        <w:t>A sentence of life imprisonment may be imposed for criminal offences of genocide, crimes against humanity, war crimes and aggression, and under conditions under point 1 of paragraph 2 of Article 53 of this Penal Code for two or more criminal offences under paragraph 5 of Article 108, Article 116, Article 352, paragraph 2 of Article 360, paragraph 4 of Article 371, and paragraph 3 of Article 373.</w:t>
      </w:r>
    </w:p>
    <w:p w:rsidR="00D008FA" w:rsidRDefault="00F3184F">
      <w:pPr>
        <w:numPr>
          <w:ilvl w:val="0"/>
          <w:numId w:val="1"/>
        </w:numPr>
        <w:tabs>
          <w:tab w:val="clear" w:pos="432"/>
          <w:tab w:val="left" w:pos="1368"/>
        </w:tabs>
        <w:spacing w:before="274" w:line="278" w:lineRule="exact"/>
        <w:ind w:left="0" w:firstLine="936"/>
        <w:jc w:val="both"/>
        <w:textAlignment w:val="baseline"/>
        <w:rPr>
          <w:rFonts w:eastAsia="Times New Roman"/>
          <w:color w:val="000000"/>
          <w:sz w:val="24"/>
        </w:rPr>
      </w:pPr>
      <w:r>
        <w:rPr>
          <w:rFonts w:eastAsia="Times New Roman"/>
          <w:color w:val="000000"/>
          <w:sz w:val="24"/>
        </w:rPr>
        <w:t>In prescribing a prison sentence for a term of not more than two years, the statute shall not prescribe the minimum term for which sentence may be imposed.</w:t>
      </w:r>
    </w:p>
    <w:p w:rsidR="00D008FA" w:rsidRDefault="00F3184F">
      <w:pPr>
        <w:numPr>
          <w:ilvl w:val="0"/>
          <w:numId w:val="1"/>
        </w:numPr>
        <w:tabs>
          <w:tab w:val="clear" w:pos="432"/>
          <w:tab w:val="left" w:pos="1368"/>
        </w:tabs>
        <w:spacing w:before="278" w:line="274" w:lineRule="exact"/>
        <w:ind w:left="0" w:firstLine="936"/>
        <w:jc w:val="both"/>
        <w:textAlignment w:val="baseline"/>
        <w:rPr>
          <w:rFonts w:eastAsia="Times New Roman"/>
          <w:color w:val="000000"/>
          <w:sz w:val="24"/>
        </w:rPr>
      </w:pPr>
      <w:r>
        <w:rPr>
          <w:rFonts w:eastAsia="Times New Roman"/>
          <w:color w:val="000000"/>
          <w:sz w:val="24"/>
        </w:rPr>
        <w:t>A prison sentence shall be determined in full years and months, unless its term does not exceed a period of six months, in which case it may be determined in full days.</w:t>
      </w:r>
    </w:p>
    <w:p w:rsidR="00D008FA" w:rsidRDefault="00F3184F">
      <w:pPr>
        <w:spacing w:before="556" w:line="274" w:lineRule="exact"/>
        <w:jc w:val="center"/>
        <w:textAlignment w:val="baseline"/>
        <w:rPr>
          <w:rFonts w:eastAsia="Times New Roman"/>
          <w:color w:val="000000"/>
          <w:sz w:val="24"/>
        </w:rPr>
      </w:pPr>
      <w:r>
        <w:rPr>
          <w:rFonts w:eastAsia="Times New Roman"/>
          <w:color w:val="000000"/>
          <w:sz w:val="24"/>
        </w:rPr>
        <w:t xml:space="preserve">Aggression </w:t>
      </w:r>
      <w:r>
        <w:rPr>
          <w:rFonts w:eastAsia="Times New Roman"/>
          <w:color w:val="000000"/>
          <w:sz w:val="24"/>
        </w:rPr>
        <w:br/>
        <w:t>Article 103</w:t>
      </w:r>
    </w:p>
    <w:p w:rsidR="00D008FA" w:rsidRDefault="00F3184F">
      <w:pPr>
        <w:numPr>
          <w:ilvl w:val="0"/>
          <w:numId w:val="2"/>
        </w:numPr>
        <w:tabs>
          <w:tab w:val="clear" w:pos="432"/>
          <w:tab w:val="left" w:pos="1368"/>
        </w:tabs>
        <w:spacing w:before="278" w:line="276" w:lineRule="exact"/>
        <w:ind w:left="0" w:right="144" w:firstLine="936"/>
        <w:jc w:val="both"/>
        <w:textAlignment w:val="baseline"/>
        <w:rPr>
          <w:rFonts w:eastAsia="Times New Roman"/>
          <w:color w:val="000000"/>
          <w:spacing w:val="-2"/>
          <w:sz w:val="24"/>
        </w:rPr>
      </w:pPr>
      <w:r>
        <w:rPr>
          <w:rFonts w:eastAsia="Times New Roman"/>
          <w:color w:val="000000"/>
          <w:spacing w:val="-2"/>
          <w:sz w:val="24"/>
        </w:rPr>
        <w:t>An official or other person in a position effectively to exercise control over or to direct the political or military action of the state, who plans, prepares, initiates or executes an act of aggression which, by its character, gravity and scale, constitutes a manifest violation of the Charter of the United Nations, shall be sentenced to at least fifteen years in prison.</w:t>
      </w:r>
    </w:p>
    <w:p w:rsidR="00D008FA" w:rsidRDefault="00F3184F">
      <w:pPr>
        <w:numPr>
          <w:ilvl w:val="0"/>
          <w:numId w:val="2"/>
        </w:numPr>
        <w:tabs>
          <w:tab w:val="clear" w:pos="432"/>
          <w:tab w:val="left" w:pos="1368"/>
        </w:tabs>
        <w:spacing w:before="278" w:line="275" w:lineRule="exact"/>
        <w:ind w:left="0" w:right="144" w:firstLine="936"/>
        <w:textAlignment w:val="baseline"/>
        <w:rPr>
          <w:rFonts w:eastAsia="Times New Roman"/>
          <w:color w:val="000000"/>
          <w:sz w:val="24"/>
        </w:rPr>
      </w:pPr>
      <w:r>
        <w:rPr>
          <w:rFonts w:eastAsia="Times New Roman"/>
          <w:color w:val="000000"/>
          <w:sz w:val="24"/>
        </w:rPr>
        <w:t>An act of aggression means the use of armed force against the sovereignty, territorial integrity or political independence of another state, or in any other manner inconsistent with the Charter of the United Nations. Any of the following acts, regardless of a declaration of war, shall qualify as an act of aggression:</w:t>
      </w:r>
    </w:p>
    <w:p w:rsidR="00D008FA" w:rsidRDefault="00F3184F">
      <w:pPr>
        <w:numPr>
          <w:ilvl w:val="0"/>
          <w:numId w:val="3"/>
        </w:numPr>
        <w:spacing w:before="2" w:line="276" w:lineRule="exact"/>
        <w:ind w:left="432" w:hanging="432"/>
        <w:jc w:val="both"/>
        <w:textAlignment w:val="baseline"/>
        <w:rPr>
          <w:rFonts w:eastAsia="Times New Roman"/>
          <w:color w:val="000000"/>
          <w:sz w:val="24"/>
        </w:rPr>
      </w:pPr>
      <w:r>
        <w:rPr>
          <w:rFonts w:eastAsia="Times New Roman"/>
          <w:color w:val="000000"/>
          <w:sz w:val="24"/>
        </w:rPr>
        <w:t>invasion of or an armed attack on the territory, sea, aircrafts, ports or vessels of another state, or any military occupation, temporary or permanent, or any annexation by the use of force of the territory of another state or part thereof;</w:t>
      </w:r>
    </w:p>
    <w:p w:rsidR="00D008FA" w:rsidRDefault="00F3184F">
      <w:pPr>
        <w:numPr>
          <w:ilvl w:val="0"/>
          <w:numId w:val="3"/>
        </w:numPr>
        <w:spacing w:line="274" w:lineRule="exact"/>
        <w:ind w:left="432" w:hanging="432"/>
        <w:jc w:val="both"/>
        <w:textAlignment w:val="baseline"/>
        <w:rPr>
          <w:rFonts w:eastAsia="Times New Roman"/>
          <w:color w:val="000000"/>
          <w:sz w:val="24"/>
        </w:rPr>
      </w:pPr>
      <w:r>
        <w:rPr>
          <w:rFonts w:eastAsia="Times New Roman"/>
          <w:color w:val="000000"/>
          <w:sz w:val="24"/>
        </w:rPr>
        <w:t>bombardment of or the use of any weapons against the territory of another state;</w:t>
      </w:r>
    </w:p>
    <w:p w:rsidR="00D008FA" w:rsidRDefault="00F3184F">
      <w:pPr>
        <w:numPr>
          <w:ilvl w:val="0"/>
          <w:numId w:val="3"/>
        </w:numPr>
        <w:spacing w:before="4" w:line="274" w:lineRule="exact"/>
        <w:ind w:left="432" w:hanging="432"/>
        <w:jc w:val="both"/>
        <w:textAlignment w:val="baseline"/>
        <w:rPr>
          <w:rFonts w:eastAsia="Times New Roman"/>
          <w:color w:val="000000"/>
          <w:spacing w:val="-1"/>
          <w:sz w:val="24"/>
        </w:rPr>
      </w:pPr>
      <w:r>
        <w:rPr>
          <w:rFonts w:eastAsia="Times New Roman"/>
          <w:color w:val="000000"/>
          <w:spacing w:val="-1"/>
          <w:sz w:val="24"/>
        </w:rPr>
        <w:t>blockade of the ports or coasts of another state;</w:t>
      </w:r>
    </w:p>
    <w:p w:rsidR="00D008FA" w:rsidRDefault="00F3184F">
      <w:pPr>
        <w:numPr>
          <w:ilvl w:val="0"/>
          <w:numId w:val="3"/>
        </w:numPr>
        <w:spacing w:line="276" w:lineRule="exact"/>
        <w:ind w:left="432" w:hanging="432"/>
        <w:jc w:val="both"/>
        <w:textAlignment w:val="baseline"/>
        <w:rPr>
          <w:rFonts w:eastAsia="Times New Roman"/>
          <w:color w:val="000000"/>
          <w:sz w:val="24"/>
        </w:rPr>
      </w:pPr>
      <w:r>
        <w:rPr>
          <w:rFonts w:eastAsia="Times New Roman"/>
          <w:color w:val="000000"/>
          <w:sz w:val="24"/>
        </w:rPr>
        <w:t>the use of armed forces of one state which are within the territory of another state with the agreement of the receiving state, in contravention of the conditions provided for in the agreement or any extension of their presence in such territory beyond the termination of the agreement;</w:t>
      </w:r>
    </w:p>
    <w:p w:rsidR="00D008FA" w:rsidRDefault="00F3184F">
      <w:pPr>
        <w:numPr>
          <w:ilvl w:val="0"/>
          <w:numId w:val="3"/>
        </w:numPr>
        <w:spacing w:line="275" w:lineRule="exact"/>
        <w:ind w:left="432" w:hanging="432"/>
        <w:jc w:val="both"/>
        <w:textAlignment w:val="baseline"/>
        <w:rPr>
          <w:rFonts w:eastAsia="Times New Roman"/>
          <w:color w:val="000000"/>
          <w:sz w:val="24"/>
        </w:rPr>
      </w:pPr>
      <w:r>
        <w:rPr>
          <w:rFonts w:eastAsia="Times New Roman"/>
          <w:color w:val="000000"/>
          <w:sz w:val="24"/>
        </w:rPr>
        <w:t>the action of the Republic of Slovenia in allowing its territory, which it has placed at the disposal of another state, to be used by that other state for perpetrating an act of aggression against a third state;</w:t>
      </w:r>
    </w:p>
    <w:p w:rsidR="00D008FA" w:rsidRDefault="00F3184F">
      <w:pPr>
        <w:numPr>
          <w:ilvl w:val="0"/>
          <w:numId w:val="3"/>
        </w:numPr>
        <w:spacing w:line="278" w:lineRule="exact"/>
        <w:ind w:left="432" w:hanging="432"/>
        <w:jc w:val="both"/>
        <w:textAlignment w:val="baseline"/>
        <w:rPr>
          <w:rFonts w:eastAsia="Times New Roman"/>
          <w:color w:val="000000"/>
          <w:sz w:val="24"/>
        </w:rPr>
      </w:pPr>
      <w:proofErr w:type="gramStart"/>
      <w:r>
        <w:rPr>
          <w:rFonts w:eastAsia="Times New Roman"/>
          <w:color w:val="000000"/>
          <w:sz w:val="24"/>
        </w:rPr>
        <w:t>the</w:t>
      </w:r>
      <w:proofErr w:type="gramEnd"/>
      <w:r>
        <w:rPr>
          <w:rFonts w:eastAsia="Times New Roman"/>
          <w:color w:val="000000"/>
          <w:sz w:val="24"/>
        </w:rPr>
        <w:t xml:space="preserve"> sending of armed bands, groups, irregulars or mercenaries, which carry out acts of armed force of such gravity as to amount to the acts listed above.</w:t>
      </w:r>
    </w:p>
    <w:p w:rsidR="00D008FA" w:rsidRDefault="00D008FA">
      <w:pPr>
        <w:sectPr w:rsidR="00D008FA">
          <w:pgSz w:w="11909" w:h="16838"/>
          <w:pgMar w:top="1400" w:right="1378" w:bottom="1762" w:left="1411" w:header="720" w:footer="720" w:gutter="0"/>
          <w:cols w:space="720"/>
        </w:sectPr>
      </w:pPr>
    </w:p>
    <w:p w:rsidR="00D008FA" w:rsidRDefault="00F3184F">
      <w:pPr>
        <w:spacing w:before="11" w:line="278" w:lineRule="exact"/>
        <w:jc w:val="center"/>
        <w:textAlignment w:val="baseline"/>
        <w:rPr>
          <w:rFonts w:eastAsia="Times New Roman"/>
          <w:color w:val="000000"/>
          <w:sz w:val="24"/>
        </w:rPr>
      </w:pPr>
      <w:r>
        <w:rPr>
          <w:rFonts w:eastAsia="Times New Roman"/>
          <w:color w:val="000000"/>
          <w:sz w:val="24"/>
        </w:rPr>
        <w:lastRenderedPageBreak/>
        <w:t xml:space="preserve">Association and Incitement to Genocide, Crimes </w:t>
      </w:r>
      <w:r>
        <w:rPr>
          <w:rFonts w:eastAsia="Times New Roman"/>
          <w:color w:val="000000"/>
          <w:sz w:val="24"/>
        </w:rPr>
        <w:br/>
        <w:t>against Humanity or Aggression</w:t>
      </w:r>
    </w:p>
    <w:p w:rsidR="00D008FA" w:rsidRDefault="00F3184F">
      <w:pPr>
        <w:spacing w:line="274" w:lineRule="exact"/>
        <w:jc w:val="center"/>
        <w:textAlignment w:val="baseline"/>
        <w:rPr>
          <w:rFonts w:eastAsia="Times New Roman"/>
          <w:color w:val="000000"/>
          <w:spacing w:val="-1"/>
          <w:sz w:val="24"/>
        </w:rPr>
      </w:pPr>
      <w:r>
        <w:rPr>
          <w:rFonts w:eastAsia="Times New Roman"/>
          <w:color w:val="000000"/>
          <w:spacing w:val="-1"/>
          <w:sz w:val="24"/>
        </w:rPr>
        <w:t>Article 105</w:t>
      </w:r>
    </w:p>
    <w:p w:rsidR="00D008FA" w:rsidRDefault="00F3184F">
      <w:pPr>
        <w:numPr>
          <w:ilvl w:val="0"/>
          <w:numId w:val="4"/>
        </w:numPr>
        <w:tabs>
          <w:tab w:val="clear" w:pos="360"/>
          <w:tab w:val="left" w:pos="1296"/>
        </w:tabs>
        <w:spacing w:before="276" w:line="276" w:lineRule="exact"/>
        <w:ind w:left="0" w:firstLine="936"/>
        <w:jc w:val="both"/>
        <w:textAlignment w:val="baseline"/>
        <w:rPr>
          <w:rFonts w:eastAsia="Times New Roman"/>
          <w:color w:val="000000"/>
          <w:sz w:val="24"/>
        </w:rPr>
      </w:pPr>
      <w:r>
        <w:rPr>
          <w:rFonts w:eastAsia="Times New Roman"/>
          <w:color w:val="000000"/>
          <w:sz w:val="24"/>
        </w:rPr>
        <w:t xml:space="preserve">Whoever establishes a criminal </w:t>
      </w:r>
      <w:proofErr w:type="spellStart"/>
      <w:r>
        <w:rPr>
          <w:rFonts w:eastAsia="Times New Roman"/>
          <w:color w:val="000000"/>
          <w:sz w:val="24"/>
        </w:rPr>
        <w:t>organisation</w:t>
      </w:r>
      <w:proofErr w:type="spellEnd"/>
      <w:r>
        <w:rPr>
          <w:rFonts w:eastAsia="Times New Roman"/>
          <w:color w:val="000000"/>
          <w:sz w:val="24"/>
        </w:rPr>
        <w:t xml:space="preserve"> to commit criminal offences under Articles 100 to 103 of this Penal Code shall be sentenced with imprisonment between one and ten years.</w:t>
      </w:r>
    </w:p>
    <w:p w:rsidR="00D008FA" w:rsidRDefault="00F3184F">
      <w:pPr>
        <w:numPr>
          <w:ilvl w:val="0"/>
          <w:numId w:val="4"/>
        </w:numPr>
        <w:tabs>
          <w:tab w:val="clear" w:pos="360"/>
          <w:tab w:val="left" w:pos="1296"/>
        </w:tabs>
        <w:spacing w:before="274" w:line="278" w:lineRule="exact"/>
        <w:ind w:left="0" w:firstLine="936"/>
        <w:jc w:val="both"/>
        <w:textAlignment w:val="baseline"/>
        <w:rPr>
          <w:rFonts w:eastAsia="Times New Roman"/>
          <w:color w:val="000000"/>
          <w:sz w:val="24"/>
        </w:rPr>
      </w:pPr>
      <w:r>
        <w:rPr>
          <w:rFonts w:eastAsia="Times New Roman"/>
          <w:color w:val="000000"/>
          <w:sz w:val="24"/>
        </w:rPr>
        <w:t xml:space="preserve">Any person who becomes a member of the </w:t>
      </w:r>
      <w:proofErr w:type="spellStart"/>
      <w:r>
        <w:rPr>
          <w:rFonts w:eastAsia="Times New Roman"/>
          <w:color w:val="000000"/>
          <w:sz w:val="24"/>
        </w:rPr>
        <w:t>organisation</w:t>
      </w:r>
      <w:proofErr w:type="spellEnd"/>
      <w:r>
        <w:rPr>
          <w:rFonts w:eastAsia="Times New Roman"/>
          <w:color w:val="000000"/>
          <w:sz w:val="24"/>
        </w:rPr>
        <w:t xml:space="preserve"> referred to in the previous paragraph shall be sentenced with imprisonment between six months and five years.</w:t>
      </w:r>
    </w:p>
    <w:p w:rsidR="00D008FA" w:rsidRDefault="00F3184F">
      <w:pPr>
        <w:numPr>
          <w:ilvl w:val="0"/>
          <w:numId w:val="4"/>
        </w:numPr>
        <w:tabs>
          <w:tab w:val="clear" w:pos="360"/>
          <w:tab w:val="left" w:pos="1296"/>
        </w:tabs>
        <w:spacing w:before="278" w:line="275" w:lineRule="exact"/>
        <w:ind w:left="0" w:firstLine="936"/>
        <w:jc w:val="both"/>
        <w:textAlignment w:val="baseline"/>
        <w:rPr>
          <w:rFonts w:eastAsia="Times New Roman"/>
          <w:color w:val="000000"/>
          <w:sz w:val="24"/>
        </w:rPr>
      </w:pPr>
      <w:r>
        <w:rPr>
          <w:rFonts w:eastAsia="Times New Roman"/>
          <w:color w:val="000000"/>
          <w:sz w:val="24"/>
        </w:rPr>
        <w:t>The perpetrator of the criminal offence under paragraphs 1 or 2 of this Article, who prevents the committing of criminal offences specified in paragraph 1 or declared the offence in due time, shall be sentenced with imprisonment of up to three years, or the sentence may also be remitted.</w:t>
      </w:r>
    </w:p>
    <w:p w:rsidR="00D008FA" w:rsidRDefault="00F3184F">
      <w:pPr>
        <w:numPr>
          <w:ilvl w:val="0"/>
          <w:numId w:val="4"/>
        </w:numPr>
        <w:tabs>
          <w:tab w:val="clear" w:pos="360"/>
          <w:tab w:val="left" w:pos="1296"/>
        </w:tabs>
        <w:spacing w:before="276" w:line="276" w:lineRule="exact"/>
        <w:ind w:left="0" w:firstLine="936"/>
        <w:jc w:val="both"/>
        <w:textAlignment w:val="baseline"/>
        <w:rPr>
          <w:rFonts w:eastAsia="Times New Roman"/>
          <w:color w:val="000000"/>
          <w:sz w:val="24"/>
        </w:rPr>
      </w:pPr>
      <w:r>
        <w:rPr>
          <w:rFonts w:eastAsia="Times New Roman"/>
          <w:color w:val="000000"/>
          <w:sz w:val="24"/>
        </w:rPr>
        <w:t>Whoever incites or instigates to directly commit the criminal offences under Articles 100 to 103 of this Penal Code shall be sentenced with imprisonment between six months and five years.</w:t>
      </w:r>
    </w:p>
    <w:p w:rsidR="00D008FA" w:rsidRDefault="00F3184F">
      <w:pPr>
        <w:spacing w:before="556" w:line="274" w:lineRule="exact"/>
        <w:jc w:val="center"/>
        <w:textAlignment w:val="baseline"/>
        <w:rPr>
          <w:rFonts w:eastAsia="Times New Roman"/>
          <w:color w:val="000000"/>
          <w:sz w:val="24"/>
        </w:rPr>
      </w:pPr>
      <w:r>
        <w:rPr>
          <w:rFonts w:eastAsia="Times New Roman"/>
          <w:color w:val="000000"/>
          <w:sz w:val="24"/>
        </w:rPr>
        <w:t xml:space="preserve">Public Incitement to Hatred, Violence or Intolerance </w:t>
      </w:r>
      <w:r>
        <w:rPr>
          <w:rFonts w:eastAsia="Times New Roman"/>
          <w:color w:val="000000"/>
          <w:sz w:val="24"/>
        </w:rPr>
        <w:br/>
        <w:t>Article 297</w:t>
      </w:r>
    </w:p>
    <w:p w:rsidR="00D008FA" w:rsidRDefault="00F3184F">
      <w:pPr>
        <w:numPr>
          <w:ilvl w:val="0"/>
          <w:numId w:val="5"/>
        </w:numPr>
        <w:tabs>
          <w:tab w:val="clear" w:pos="360"/>
          <w:tab w:val="left" w:pos="1296"/>
        </w:tabs>
        <w:spacing w:before="278" w:line="276" w:lineRule="exact"/>
        <w:ind w:left="0" w:firstLine="936"/>
        <w:jc w:val="both"/>
        <w:textAlignment w:val="baseline"/>
        <w:rPr>
          <w:rFonts w:eastAsia="Times New Roman"/>
          <w:color w:val="000000"/>
          <w:sz w:val="24"/>
        </w:rPr>
      </w:pPr>
      <w:r>
        <w:rPr>
          <w:rFonts w:eastAsia="Times New Roman"/>
          <w:color w:val="000000"/>
          <w:sz w:val="24"/>
        </w:rPr>
        <w:t xml:space="preserve">Whoever publicly provokes or stirs up hatred, violence or intolerance in respect of nationality, race, religion, ethnicity, gender, skin </w:t>
      </w:r>
      <w:proofErr w:type="spellStart"/>
      <w:r>
        <w:rPr>
          <w:rFonts w:eastAsia="Times New Roman"/>
          <w:color w:val="000000"/>
          <w:sz w:val="24"/>
        </w:rPr>
        <w:t>colour</w:t>
      </w:r>
      <w:proofErr w:type="spellEnd"/>
      <w:r>
        <w:rPr>
          <w:rFonts w:eastAsia="Times New Roman"/>
          <w:color w:val="000000"/>
          <w:sz w:val="24"/>
        </w:rPr>
        <w:t xml:space="preserve">, origin, financial situation, education, social position, political or other beliefs, disability, sexual orientation, or any other personal circumstance, and commits the offence in a manner that can </w:t>
      </w:r>
      <w:proofErr w:type="spellStart"/>
      <w:r>
        <w:rPr>
          <w:rFonts w:eastAsia="Times New Roman"/>
          <w:color w:val="000000"/>
          <w:sz w:val="24"/>
        </w:rPr>
        <w:t>jeopardise</w:t>
      </w:r>
      <w:proofErr w:type="spellEnd"/>
      <w:r>
        <w:rPr>
          <w:rFonts w:eastAsia="Times New Roman"/>
          <w:color w:val="000000"/>
          <w:sz w:val="24"/>
        </w:rPr>
        <w:t xml:space="preserve"> or disturb public law and order, or uses force or threat, verbal abuse or insult shall be sentenced to up to two years in prison.</w:t>
      </w:r>
    </w:p>
    <w:p w:rsidR="00D008FA" w:rsidRDefault="00F3184F">
      <w:pPr>
        <w:numPr>
          <w:ilvl w:val="0"/>
          <w:numId w:val="5"/>
        </w:numPr>
        <w:tabs>
          <w:tab w:val="clear" w:pos="360"/>
          <w:tab w:val="left" w:pos="1296"/>
        </w:tabs>
        <w:spacing w:before="280" w:line="275" w:lineRule="exact"/>
        <w:ind w:left="0" w:firstLine="936"/>
        <w:jc w:val="both"/>
        <w:textAlignment w:val="baseline"/>
        <w:rPr>
          <w:rFonts w:eastAsia="Times New Roman"/>
          <w:color w:val="000000"/>
          <w:sz w:val="24"/>
        </w:rPr>
      </w:pPr>
      <w:r>
        <w:rPr>
          <w:rFonts w:eastAsia="Times New Roman"/>
          <w:color w:val="000000"/>
          <w:sz w:val="24"/>
        </w:rPr>
        <w:t xml:space="preserve">The same sentence shall be imposed on a person who, in the manner referred to in the preceding paragraph, publicly disseminates ideas on the supremacy of one race over another, or provides aid in any manner for racist activity or denies, diminishes the significance of, approves, justifies, makes fun of, or advocates genocide, holocaust, crimes against humanity, war crime, aggression, or other criminal offences against humanity, as they are </w:t>
      </w:r>
      <w:proofErr w:type="gramStart"/>
      <w:r>
        <w:rPr>
          <w:rFonts w:eastAsia="Times New Roman"/>
          <w:color w:val="000000"/>
          <w:sz w:val="24"/>
        </w:rPr>
        <w:t>defined</w:t>
      </w:r>
      <w:proofErr w:type="gramEnd"/>
      <w:r>
        <w:rPr>
          <w:rFonts w:eastAsia="Times New Roman"/>
          <w:color w:val="000000"/>
          <w:sz w:val="24"/>
        </w:rPr>
        <w:t xml:space="preserve"> in the legal system of the Republic of Slovenia.</w:t>
      </w:r>
    </w:p>
    <w:p w:rsidR="00D008FA" w:rsidRDefault="00F3184F">
      <w:pPr>
        <w:numPr>
          <w:ilvl w:val="0"/>
          <w:numId w:val="5"/>
        </w:numPr>
        <w:tabs>
          <w:tab w:val="clear" w:pos="360"/>
          <w:tab w:val="left" w:pos="1296"/>
        </w:tabs>
        <w:spacing w:before="276" w:line="276" w:lineRule="exact"/>
        <w:ind w:left="0" w:firstLine="936"/>
        <w:jc w:val="both"/>
        <w:textAlignment w:val="baseline"/>
        <w:rPr>
          <w:rFonts w:eastAsia="Times New Roman"/>
          <w:color w:val="000000"/>
          <w:sz w:val="24"/>
        </w:rPr>
      </w:pPr>
      <w:r>
        <w:rPr>
          <w:rFonts w:eastAsia="Times New Roman"/>
          <w:color w:val="000000"/>
          <w:sz w:val="24"/>
        </w:rPr>
        <w:t>If the offence referred to in the preceding paragraphs has been committed by publication in mass media or on the websites, the editor or the person acting as the editor shall be imposed the sentence referred to in paragraph 1 or 2 of this Article, except if this was a live broadcast of a show that he could not prevent or a publication on websites that enable users to publish content in real time or without prior review.</w:t>
      </w:r>
    </w:p>
    <w:p w:rsidR="00D008FA" w:rsidRDefault="00F3184F">
      <w:pPr>
        <w:numPr>
          <w:ilvl w:val="0"/>
          <w:numId w:val="5"/>
        </w:numPr>
        <w:tabs>
          <w:tab w:val="clear" w:pos="360"/>
          <w:tab w:val="left" w:pos="1296"/>
        </w:tabs>
        <w:spacing w:before="275" w:line="277" w:lineRule="exact"/>
        <w:ind w:left="0" w:firstLine="936"/>
        <w:jc w:val="both"/>
        <w:textAlignment w:val="baseline"/>
        <w:rPr>
          <w:rFonts w:eastAsia="Times New Roman"/>
          <w:color w:val="000000"/>
          <w:sz w:val="24"/>
        </w:rPr>
      </w:pPr>
      <w:r>
        <w:rPr>
          <w:rFonts w:eastAsia="Times New Roman"/>
          <w:color w:val="000000"/>
          <w:sz w:val="24"/>
        </w:rPr>
        <w:t>If the offence under paragraphs 1 or 2 of this Article has been committed by coercion, maltreatment, endangering of security, desecration of ethnic national, ethnic or religious symbols, damaging the movable property of another, desecration of monuments or memorial stones or graves, the perpetrator shall be punished by imprisonment of up to three years.</w:t>
      </w:r>
    </w:p>
    <w:p w:rsidR="00D008FA" w:rsidRDefault="00D008FA">
      <w:pPr>
        <w:sectPr w:rsidR="00D008FA">
          <w:pgSz w:w="11909" w:h="16838"/>
          <w:pgMar w:top="1680" w:right="1394" w:bottom="1202" w:left="1395" w:header="720" w:footer="720" w:gutter="0"/>
          <w:cols w:space="720"/>
        </w:sectPr>
      </w:pPr>
    </w:p>
    <w:p w:rsidR="00D008FA" w:rsidRDefault="00F3184F">
      <w:pPr>
        <w:numPr>
          <w:ilvl w:val="0"/>
          <w:numId w:val="6"/>
        </w:numPr>
        <w:tabs>
          <w:tab w:val="clear" w:pos="360"/>
          <w:tab w:val="left" w:pos="1296"/>
        </w:tabs>
        <w:spacing w:before="14" w:line="276" w:lineRule="exact"/>
        <w:ind w:left="0" w:firstLine="936"/>
        <w:jc w:val="both"/>
        <w:textAlignment w:val="baseline"/>
        <w:rPr>
          <w:rFonts w:eastAsia="Times New Roman"/>
          <w:color w:val="000000"/>
          <w:sz w:val="24"/>
        </w:rPr>
      </w:pPr>
      <w:r>
        <w:rPr>
          <w:rFonts w:eastAsia="Times New Roman"/>
          <w:color w:val="000000"/>
          <w:sz w:val="24"/>
        </w:rPr>
        <w:lastRenderedPageBreak/>
        <w:t>If the acts under paragraphs 1 or 2 of this Article have been committed by an official by abusing their official position or rights, he shall be punished by imprisonment of up to five years.</w:t>
      </w:r>
    </w:p>
    <w:p w:rsidR="00D008FA" w:rsidRDefault="00F3184F">
      <w:pPr>
        <w:numPr>
          <w:ilvl w:val="0"/>
          <w:numId w:val="6"/>
        </w:numPr>
        <w:tabs>
          <w:tab w:val="clear" w:pos="360"/>
          <w:tab w:val="left" w:pos="1296"/>
        </w:tabs>
        <w:spacing w:before="276" w:line="276" w:lineRule="exact"/>
        <w:ind w:left="0" w:firstLine="936"/>
        <w:jc w:val="both"/>
        <w:textAlignment w:val="baseline"/>
        <w:rPr>
          <w:rFonts w:eastAsia="Times New Roman"/>
          <w:color w:val="000000"/>
          <w:sz w:val="24"/>
        </w:rPr>
      </w:pPr>
      <w:r>
        <w:rPr>
          <w:rFonts w:eastAsia="Times New Roman"/>
          <w:color w:val="000000"/>
          <w:sz w:val="24"/>
        </w:rPr>
        <w:t>Material and objects bearing messages from paragraphs 1 and 2 of this Article, and all devices intended for their manufacture, multiplication and distribution, shall be confiscated, or their use disabled in an appropriate manner.</w:t>
      </w:r>
    </w:p>
    <w:sectPr w:rsidR="00D008FA">
      <w:pgSz w:w="11909" w:h="16838"/>
      <w:pgMar w:top="1680" w:right="1385" w:bottom="12802"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A419E"/>
    <w:multiLevelType w:val="multilevel"/>
    <w:tmpl w:val="F3689CC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B521D2"/>
    <w:multiLevelType w:val="multilevel"/>
    <w:tmpl w:val="7B74956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E91A79"/>
    <w:multiLevelType w:val="multilevel"/>
    <w:tmpl w:val="99CA434E"/>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30CB7"/>
    <w:multiLevelType w:val="multilevel"/>
    <w:tmpl w:val="F782D600"/>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A20B6"/>
    <w:multiLevelType w:val="multilevel"/>
    <w:tmpl w:val="38547E40"/>
    <w:lvl w:ilvl="0">
      <w:start w:val="1"/>
      <w:numFmt w:val="decimal"/>
      <w:lvlText w:val="(%1)"/>
      <w:lvlJc w:val="left"/>
      <w:pPr>
        <w:tabs>
          <w:tab w:val="left" w:pos="43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C22435"/>
    <w:multiLevelType w:val="multilevel"/>
    <w:tmpl w:val="7C624A12"/>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008FA"/>
    <w:rsid w:val="009B41A4"/>
    <w:rsid w:val="00B06400"/>
    <w:rsid w:val="00D008FA"/>
    <w:rsid w:val="00F3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400"/>
    <w:rPr>
      <w:sz w:val="16"/>
      <w:szCs w:val="16"/>
    </w:rPr>
  </w:style>
  <w:style w:type="paragraph" w:styleId="CommentText">
    <w:name w:val="annotation text"/>
    <w:basedOn w:val="Normal"/>
    <w:link w:val="CommentTextChar"/>
    <w:uiPriority w:val="99"/>
    <w:semiHidden/>
    <w:unhideWhenUsed/>
    <w:rsid w:val="00B06400"/>
    <w:rPr>
      <w:sz w:val="20"/>
      <w:szCs w:val="20"/>
    </w:rPr>
  </w:style>
  <w:style w:type="character" w:customStyle="1" w:styleId="CommentTextChar">
    <w:name w:val="Comment Text Char"/>
    <w:basedOn w:val="DefaultParagraphFont"/>
    <w:link w:val="CommentText"/>
    <w:uiPriority w:val="99"/>
    <w:semiHidden/>
    <w:rsid w:val="00B06400"/>
    <w:rPr>
      <w:sz w:val="20"/>
      <w:szCs w:val="20"/>
    </w:rPr>
  </w:style>
  <w:style w:type="paragraph" w:styleId="CommentSubject">
    <w:name w:val="annotation subject"/>
    <w:basedOn w:val="CommentText"/>
    <w:next w:val="CommentText"/>
    <w:link w:val="CommentSubjectChar"/>
    <w:uiPriority w:val="99"/>
    <w:semiHidden/>
    <w:unhideWhenUsed/>
    <w:rsid w:val="00B06400"/>
    <w:rPr>
      <w:b/>
      <w:bCs/>
    </w:rPr>
  </w:style>
  <w:style w:type="character" w:customStyle="1" w:styleId="CommentSubjectChar">
    <w:name w:val="Comment Subject Char"/>
    <w:basedOn w:val="CommentTextChar"/>
    <w:link w:val="CommentSubject"/>
    <w:uiPriority w:val="99"/>
    <w:semiHidden/>
    <w:rsid w:val="00B06400"/>
    <w:rPr>
      <w:b/>
      <w:bCs/>
      <w:sz w:val="20"/>
      <w:szCs w:val="20"/>
    </w:rPr>
  </w:style>
  <w:style w:type="paragraph" w:styleId="BalloonText">
    <w:name w:val="Balloon Text"/>
    <w:basedOn w:val="Normal"/>
    <w:link w:val="BalloonTextChar"/>
    <w:uiPriority w:val="99"/>
    <w:semiHidden/>
    <w:unhideWhenUsed/>
    <w:rsid w:val="00B06400"/>
    <w:rPr>
      <w:rFonts w:ascii="Tahoma" w:hAnsi="Tahoma" w:cs="Tahoma"/>
      <w:sz w:val="16"/>
      <w:szCs w:val="16"/>
    </w:rPr>
  </w:style>
  <w:style w:type="character" w:customStyle="1" w:styleId="BalloonTextChar">
    <w:name w:val="Balloon Text Char"/>
    <w:basedOn w:val="DefaultParagraphFont"/>
    <w:link w:val="BalloonText"/>
    <w:uiPriority w:val="99"/>
    <w:semiHidden/>
    <w:rsid w:val="00B06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400"/>
    <w:rPr>
      <w:sz w:val="16"/>
      <w:szCs w:val="16"/>
    </w:rPr>
  </w:style>
  <w:style w:type="paragraph" w:styleId="CommentText">
    <w:name w:val="annotation text"/>
    <w:basedOn w:val="Normal"/>
    <w:link w:val="CommentTextChar"/>
    <w:uiPriority w:val="99"/>
    <w:semiHidden/>
    <w:unhideWhenUsed/>
    <w:rsid w:val="00B06400"/>
    <w:rPr>
      <w:sz w:val="20"/>
      <w:szCs w:val="20"/>
    </w:rPr>
  </w:style>
  <w:style w:type="character" w:customStyle="1" w:styleId="CommentTextChar">
    <w:name w:val="Comment Text Char"/>
    <w:basedOn w:val="DefaultParagraphFont"/>
    <w:link w:val="CommentText"/>
    <w:uiPriority w:val="99"/>
    <w:semiHidden/>
    <w:rsid w:val="00B06400"/>
    <w:rPr>
      <w:sz w:val="20"/>
      <w:szCs w:val="20"/>
    </w:rPr>
  </w:style>
  <w:style w:type="paragraph" w:styleId="CommentSubject">
    <w:name w:val="annotation subject"/>
    <w:basedOn w:val="CommentText"/>
    <w:next w:val="CommentText"/>
    <w:link w:val="CommentSubjectChar"/>
    <w:uiPriority w:val="99"/>
    <w:semiHidden/>
    <w:unhideWhenUsed/>
    <w:rsid w:val="00B06400"/>
    <w:rPr>
      <w:b/>
      <w:bCs/>
    </w:rPr>
  </w:style>
  <w:style w:type="character" w:customStyle="1" w:styleId="CommentSubjectChar">
    <w:name w:val="Comment Subject Char"/>
    <w:basedOn w:val="CommentTextChar"/>
    <w:link w:val="CommentSubject"/>
    <w:uiPriority w:val="99"/>
    <w:semiHidden/>
    <w:rsid w:val="00B06400"/>
    <w:rPr>
      <w:b/>
      <w:bCs/>
      <w:sz w:val="20"/>
      <w:szCs w:val="20"/>
    </w:rPr>
  </w:style>
  <w:style w:type="paragraph" w:styleId="BalloonText">
    <w:name w:val="Balloon Text"/>
    <w:basedOn w:val="Normal"/>
    <w:link w:val="BalloonTextChar"/>
    <w:uiPriority w:val="99"/>
    <w:semiHidden/>
    <w:unhideWhenUsed/>
    <w:rsid w:val="00B06400"/>
    <w:rPr>
      <w:rFonts w:ascii="Tahoma" w:hAnsi="Tahoma" w:cs="Tahoma"/>
      <w:sz w:val="16"/>
      <w:szCs w:val="16"/>
    </w:rPr>
  </w:style>
  <w:style w:type="character" w:customStyle="1" w:styleId="BalloonTextChar">
    <w:name w:val="Balloon Text Char"/>
    <w:basedOn w:val="DefaultParagraphFont"/>
    <w:link w:val="BalloonText"/>
    <w:uiPriority w:val="99"/>
    <w:semiHidden/>
    <w:rsid w:val="00B0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2014-09-09T14:25:00Z</dcterms:created>
  <dcterms:modified xsi:type="dcterms:W3CDTF">2014-09-09T14:25:00Z</dcterms:modified>
</cp:coreProperties>
</file>